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C1D83" w14:textId="26A00521" w:rsidR="007D22DA" w:rsidRPr="00B06CCB" w:rsidRDefault="007D22DA" w:rsidP="006E5150">
      <w:pPr>
        <w:shd w:val="clear" w:color="auto" w:fill="FFFFFF"/>
        <w:spacing w:after="120" w:line="240" w:lineRule="auto"/>
        <w:jc w:val="center"/>
        <w:outlineLvl w:val="0"/>
        <w:rPr>
          <w:b/>
          <w:color w:val="4F81BD" w:themeColor="accent1"/>
          <w:sz w:val="36"/>
        </w:rPr>
      </w:pPr>
      <w:r w:rsidRPr="00B06CCB">
        <w:rPr>
          <w:b/>
          <w:color w:val="4F81BD" w:themeColor="accent1"/>
          <w:sz w:val="36"/>
        </w:rPr>
        <w:t>Report on 2014 WPCD deliverable WP14-D05</w:t>
      </w:r>
      <w:r w:rsidR="006E5150" w:rsidRPr="00B06CCB">
        <w:rPr>
          <w:b/>
          <w:color w:val="4F81BD" w:themeColor="accent1"/>
          <w:sz w:val="36"/>
        </w:rPr>
        <w:t xml:space="preserve">: </w:t>
      </w:r>
      <w:r w:rsidRPr="00B06CCB">
        <w:rPr>
          <w:b/>
          <w:color w:val="4F81BD" w:themeColor="accent1"/>
          <w:sz w:val="36"/>
        </w:rPr>
        <w:t>benchmarking of EC codes on identified test cases</w:t>
      </w:r>
    </w:p>
    <w:p w14:paraId="4504FAD7" w14:textId="77777777" w:rsidR="007D22DA" w:rsidRPr="00B06CCB" w:rsidRDefault="007D22DA" w:rsidP="007D22DA">
      <w:pPr>
        <w:shd w:val="clear" w:color="auto" w:fill="FFFFFF"/>
        <w:spacing w:after="120" w:line="240" w:lineRule="atLeast"/>
        <w:jc w:val="center"/>
        <w:outlineLvl w:val="0"/>
        <w:rPr>
          <w:b/>
          <w:color w:val="1F497D" w:themeColor="text2"/>
          <w:sz w:val="22"/>
        </w:rPr>
      </w:pPr>
      <w:r w:rsidRPr="00B06CCB">
        <w:rPr>
          <w:b/>
          <w:color w:val="1F497D" w:themeColor="text2"/>
          <w:sz w:val="22"/>
        </w:rPr>
        <w:t>Lorenzo Figini and the WPCD-HCD team</w:t>
      </w:r>
    </w:p>
    <w:p w14:paraId="6B17D22F" w14:textId="77777777" w:rsidR="007D22DA" w:rsidRPr="0076542B" w:rsidRDefault="007D22DA" w:rsidP="007D22DA"/>
    <w:p w14:paraId="55C5CFEA" w14:textId="64EA7073" w:rsidR="0076542B" w:rsidRDefault="0076542B" w:rsidP="00892BB0">
      <w:pPr>
        <w:widowControl w:val="0"/>
        <w:autoSpaceDE w:val="0"/>
        <w:autoSpaceDN w:val="0"/>
        <w:adjustRightInd w:val="0"/>
        <w:spacing w:before="120" w:after="0" w:line="240" w:lineRule="auto"/>
        <w:jc w:val="both"/>
      </w:pPr>
      <w:r w:rsidRPr="0076542B">
        <w:t xml:space="preserve">This report summarizes the advances obtained in 2014 for the benchmarking activity performed among the </w:t>
      </w:r>
      <w:r w:rsidR="00D04B55">
        <w:t>Electron Cyclotron (</w:t>
      </w:r>
      <w:r w:rsidRPr="0076542B">
        <w:t>EC</w:t>
      </w:r>
      <w:r w:rsidR="00D04B55">
        <w:t>)</w:t>
      </w:r>
      <w:r w:rsidRPr="0076542B">
        <w:t xml:space="preserve"> codes present in the WPCD framework.</w:t>
      </w:r>
      <w:r w:rsidR="00D04B55">
        <w:t xml:space="preserve"> Purpose of this activity is to verify all the EC codes involved in WPCD, which are used to compute electron Heating and Current Drive (H&amp;CD) in the HCD workflow, before their exploitation in the European Transport Solver ETS.</w:t>
      </w:r>
    </w:p>
    <w:p w14:paraId="10E8E89C" w14:textId="27D286DF" w:rsidR="00D04B55" w:rsidRDefault="00D04B55" w:rsidP="009C40A1">
      <w:pPr>
        <w:pStyle w:val="Heading2"/>
      </w:pPr>
      <w:r>
        <w:t>Involved codes</w:t>
      </w:r>
    </w:p>
    <w:p w14:paraId="523073AD" w14:textId="71717F7D" w:rsidR="00D04B55" w:rsidRDefault="00D04B55" w:rsidP="00892BB0">
      <w:pPr>
        <w:widowControl w:val="0"/>
        <w:autoSpaceDE w:val="0"/>
        <w:autoSpaceDN w:val="0"/>
        <w:adjustRightInd w:val="0"/>
        <w:spacing w:before="120" w:after="0" w:line="240" w:lineRule="auto"/>
        <w:jc w:val="both"/>
      </w:pPr>
      <w:r>
        <w:t xml:space="preserve">The EC </w:t>
      </w:r>
      <w:r w:rsidR="00B7225C">
        <w:t xml:space="preserve">ray- or beam-tracing </w:t>
      </w:r>
      <w:r>
        <w:t>codes presently involved are the following:</w:t>
      </w:r>
    </w:p>
    <w:p w14:paraId="14586F61" w14:textId="77777777" w:rsidR="00892BB0" w:rsidRDefault="00B06CCB" w:rsidP="00892BB0">
      <w:pPr>
        <w:pStyle w:val="ListParagraph"/>
        <w:widowControl w:val="0"/>
        <w:numPr>
          <w:ilvl w:val="0"/>
          <w:numId w:val="7"/>
        </w:numPr>
        <w:autoSpaceDE w:val="0"/>
        <w:autoSpaceDN w:val="0"/>
        <w:adjustRightInd w:val="0"/>
        <w:spacing w:after="0" w:line="240" w:lineRule="auto"/>
        <w:ind w:left="0" w:firstLine="0"/>
        <w:contextualSpacing w:val="0"/>
        <w:jc w:val="both"/>
      </w:pPr>
      <w:r>
        <w:t xml:space="preserve">C3PO/LUKE </w:t>
      </w:r>
      <w:r w:rsidRPr="00B06CCB">
        <w:rPr>
          <w:lang w:val="it-IT"/>
        </w:rPr>
        <w:t>(</w:t>
      </w:r>
      <w:proofErr w:type="spellStart"/>
      <w:r w:rsidRPr="00B06CCB">
        <w:rPr>
          <w:lang w:val="it-IT"/>
        </w:rPr>
        <w:t>contact</w:t>
      </w:r>
      <w:proofErr w:type="spellEnd"/>
      <w:r w:rsidRPr="00B06CCB">
        <w:rPr>
          <w:lang w:val="it-IT"/>
        </w:rPr>
        <w:t xml:space="preserve"> </w:t>
      </w:r>
      <w:proofErr w:type="spellStart"/>
      <w:r w:rsidRPr="00B06CCB">
        <w:rPr>
          <w:lang w:val="it-IT"/>
        </w:rPr>
        <w:t>person</w:t>
      </w:r>
      <w:proofErr w:type="spellEnd"/>
      <w:r w:rsidRPr="00B06CCB">
        <w:rPr>
          <w:lang w:val="it-IT"/>
        </w:rPr>
        <w:t xml:space="preserve">: </w:t>
      </w:r>
      <w:r>
        <w:rPr>
          <w:lang w:val="it-IT"/>
        </w:rPr>
        <w:t>Y.</w:t>
      </w:r>
      <w:r w:rsidRPr="00B06CCB">
        <w:rPr>
          <w:lang w:val="it-IT"/>
        </w:rPr>
        <w:t xml:space="preserve"> </w:t>
      </w:r>
      <w:proofErr w:type="spellStart"/>
      <w:r w:rsidRPr="00B06CCB">
        <w:rPr>
          <w:lang w:val="it-IT"/>
        </w:rPr>
        <w:t>Peysson</w:t>
      </w:r>
      <w:proofErr w:type="spellEnd"/>
      <w:r w:rsidRPr="00B06CCB">
        <w:rPr>
          <w:lang w:val="it-IT"/>
        </w:rPr>
        <w:t>/</w:t>
      </w:r>
      <w:r>
        <w:rPr>
          <w:lang w:val="it-IT"/>
        </w:rPr>
        <w:t>J.</w:t>
      </w:r>
      <w:r w:rsidRPr="00B06CCB">
        <w:rPr>
          <w:lang w:val="it-IT"/>
        </w:rPr>
        <w:t xml:space="preserve"> </w:t>
      </w:r>
      <w:proofErr w:type="spellStart"/>
      <w:r w:rsidRPr="00B06CCB">
        <w:rPr>
          <w:lang w:val="it-IT"/>
        </w:rPr>
        <w:t>Decker</w:t>
      </w:r>
      <w:proofErr w:type="spellEnd"/>
      <w:r w:rsidRPr="00B06CCB">
        <w:rPr>
          <w:lang w:val="it-IT"/>
        </w:rPr>
        <w:t>)</w:t>
      </w:r>
    </w:p>
    <w:p w14:paraId="7E9B9BFB" w14:textId="1FB5AB97" w:rsidR="00B06CCB" w:rsidRDefault="00B06CCB" w:rsidP="00892BB0">
      <w:pPr>
        <w:pStyle w:val="ListParagraph"/>
        <w:widowControl w:val="0"/>
        <w:numPr>
          <w:ilvl w:val="0"/>
          <w:numId w:val="7"/>
        </w:numPr>
        <w:autoSpaceDE w:val="0"/>
        <w:autoSpaceDN w:val="0"/>
        <w:adjustRightInd w:val="0"/>
        <w:spacing w:after="0" w:line="240" w:lineRule="auto"/>
        <w:ind w:left="0" w:firstLine="0"/>
        <w:contextualSpacing w:val="0"/>
        <w:jc w:val="both"/>
      </w:pPr>
      <w:r>
        <w:t xml:space="preserve">GRAY </w:t>
      </w:r>
      <w:r w:rsidRPr="00892BB0">
        <w:rPr>
          <w:lang w:val="it-IT"/>
        </w:rPr>
        <w:t>(</w:t>
      </w:r>
      <w:proofErr w:type="spellStart"/>
      <w:r w:rsidRPr="00892BB0">
        <w:rPr>
          <w:lang w:val="it-IT"/>
        </w:rPr>
        <w:t>contact</w:t>
      </w:r>
      <w:proofErr w:type="spellEnd"/>
      <w:r w:rsidRPr="00892BB0">
        <w:rPr>
          <w:lang w:val="it-IT"/>
        </w:rPr>
        <w:t xml:space="preserve"> </w:t>
      </w:r>
      <w:proofErr w:type="spellStart"/>
      <w:r w:rsidRPr="00892BB0">
        <w:rPr>
          <w:lang w:val="it-IT"/>
        </w:rPr>
        <w:t>person</w:t>
      </w:r>
      <w:proofErr w:type="spellEnd"/>
      <w:r w:rsidRPr="00892BB0">
        <w:rPr>
          <w:lang w:val="it-IT"/>
        </w:rPr>
        <w:t>: D. Farina/L. Figini)</w:t>
      </w:r>
    </w:p>
    <w:p w14:paraId="704B4DFB" w14:textId="4E062815" w:rsidR="00B06CCB" w:rsidRDefault="00B06CCB" w:rsidP="00892BB0">
      <w:pPr>
        <w:pStyle w:val="ListParagraph"/>
        <w:widowControl w:val="0"/>
        <w:numPr>
          <w:ilvl w:val="0"/>
          <w:numId w:val="7"/>
        </w:numPr>
        <w:autoSpaceDE w:val="0"/>
        <w:autoSpaceDN w:val="0"/>
        <w:adjustRightInd w:val="0"/>
        <w:spacing w:after="0" w:line="240" w:lineRule="auto"/>
        <w:ind w:left="0" w:firstLine="0"/>
        <w:contextualSpacing w:val="0"/>
        <w:jc w:val="both"/>
      </w:pPr>
      <w:r>
        <w:t xml:space="preserve">TORAY-FOM </w:t>
      </w:r>
      <w:r w:rsidRPr="00B06CCB">
        <w:rPr>
          <w:lang w:val="it-IT"/>
        </w:rPr>
        <w:t>(</w:t>
      </w:r>
      <w:proofErr w:type="spellStart"/>
      <w:r w:rsidRPr="00B06CCB">
        <w:rPr>
          <w:lang w:val="it-IT"/>
        </w:rPr>
        <w:t>contact</w:t>
      </w:r>
      <w:proofErr w:type="spellEnd"/>
      <w:r w:rsidRPr="00B06CCB">
        <w:rPr>
          <w:lang w:val="it-IT"/>
        </w:rPr>
        <w:t xml:space="preserve"> </w:t>
      </w:r>
      <w:proofErr w:type="spellStart"/>
      <w:r w:rsidRPr="00B06CCB">
        <w:rPr>
          <w:lang w:val="it-IT"/>
        </w:rPr>
        <w:t>person</w:t>
      </w:r>
      <w:proofErr w:type="spellEnd"/>
      <w:r w:rsidRPr="00B06CCB">
        <w:rPr>
          <w:lang w:val="it-IT"/>
        </w:rPr>
        <w:t xml:space="preserve">: </w:t>
      </w:r>
      <w:r>
        <w:rPr>
          <w:lang w:val="it-IT"/>
        </w:rPr>
        <w:t>E.</w:t>
      </w:r>
      <w:r w:rsidRPr="00B06CCB">
        <w:rPr>
          <w:lang w:val="it-IT"/>
        </w:rPr>
        <w:t xml:space="preserve"> </w:t>
      </w:r>
      <w:proofErr w:type="spellStart"/>
      <w:r w:rsidRPr="00B06CCB">
        <w:rPr>
          <w:lang w:val="it-IT"/>
        </w:rPr>
        <w:t>Westerhof</w:t>
      </w:r>
      <w:proofErr w:type="spellEnd"/>
      <w:r w:rsidRPr="00B06CCB">
        <w:rPr>
          <w:lang w:val="it-IT"/>
        </w:rPr>
        <w:t>)</w:t>
      </w:r>
    </w:p>
    <w:p w14:paraId="367A3DA4" w14:textId="52015DEA" w:rsidR="00B06CCB" w:rsidRDefault="00B06CCB" w:rsidP="00892BB0">
      <w:pPr>
        <w:pStyle w:val="ListParagraph"/>
        <w:widowControl w:val="0"/>
        <w:numPr>
          <w:ilvl w:val="0"/>
          <w:numId w:val="7"/>
        </w:numPr>
        <w:autoSpaceDE w:val="0"/>
        <w:autoSpaceDN w:val="0"/>
        <w:adjustRightInd w:val="0"/>
        <w:spacing w:after="0" w:line="240" w:lineRule="auto"/>
        <w:ind w:left="0" w:firstLine="0"/>
        <w:contextualSpacing w:val="0"/>
        <w:jc w:val="both"/>
      </w:pPr>
      <w:r>
        <w:t xml:space="preserve">TORBEAM </w:t>
      </w:r>
      <w:r w:rsidRPr="00B06CCB">
        <w:rPr>
          <w:lang w:val="it-IT"/>
        </w:rPr>
        <w:t>(</w:t>
      </w:r>
      <w:proofErr w:type="spellStart"/>
      <w:r w:rsidRPr="00B06CCB">
        <w:rPr>
          <w:lang w:val="it-IT"/>
        </w:rPr>
        <w:t>contact</w:t>
      </w:r>
      <w:proofErr w:type="spellEnd"/>
      <w:r w:rsidRPr="00B06CCB">
        <w:rPr>
          <w:lang w:val="it-IT"/>
        </w:rPr>
        <w:t xml:space="preserve"> </w:t>
      </w:r>
      <w:proofErr w:type="spellStart"/>
      <w:r w:rsidRPr="00B06CCB">
        <w:rPr>
          <w:lang w:val="it-IT"/>
        </w:rPr>
        <w:t>person</w:t>
      </w:r>
      <w:proofErr w:type="spellEnd"/>
      <w:r w:rsidRPr="00B06CCB">
        <w:rPr>
          <w:lang w:val="it-IT"/>
        </w:rPr>
        <w:t xml:space="preserve">: </w:t>
      </w:r>
      <w:r>
        <w:rPr>
          <w:lang w:val="it-IT"/>
        </w:rPr>
        <w:t>E.</w:t>
      </w:r>
      <w:r w:rsidRPr="00B06CCB">
        <w:rPr>
          <w:lang w:val="it-IT"/>
        </w:rPr>
        <w:t xml:space="preserve"> Poli)</w:t>
      </w:r>
    </w:p>
    <w:p w14:paraId="0B821418" w14:textId="2857FEE1" w:rsidR="00B06CCB" w:rsidRDefault="00B06CCB" w:rsidP="00892BB0">
      <w:pPr>
        <w:pStyle w:val="ListParagraph"/>
        <w:widowControl w:val="0"/>
        <w:numPr>
          <w:ilvl w:val="0"/>
          <w:numId w:val="7"/>
        </w:numPr>
        <w:autoSpaceDE w:val="0"/>
        <w:autoSpaceDN w:val="0"/>
        <w:adjustRightInd w:val="0"/>
        <w:spacing w:after="0" w:line="240" w:lineRule="auto"/>
        <w:ind w:left="0" w:firstLine="0"/>
        <w:contextualSpacing w:val="0"/>
        <w:jc w:val="both"/>
      </w:pPr>
      <w:r>
        <w:t xml:space="preserve">TRAVIS </w:t>
      </w:r>
      <w:r w:rsidRPr="00B06CCB">
        <w:rPr>
          <w:lang w:val="it-IT"/>
        </w:rPr>
        <w:t>(</w:t>
      </w:r>
      <w:proofErr w:type="spellStart"/>
      <w:r w:rsidRPr="00B06CCB">
        <w:rPr>
          <w:lang w:val="it-IT"/>
        </w:rPr>
        <w:t>contact</w:t>
      </w:r>
      <w:proofErr w:type="spellEnd"/>
      <w:r w:rsidRPr="00B06CCB">
        <w:rPr>
          <w:lang w:val="it-IT"/>
        </w:rPr>
        <w:t xml:space="preserve"> </w:t>
      </w:r>
      <w:proofErr w:type="spellStart"/>
      <w:r w:rsidRPr="00B06CCB">
        <w:rPr>
          <w:lang w:val="it-IT"/>
        </w:rPr>
        <w:t>person</w:t>
      </w:r>
      <w:proofErr w:type="spellEnd"/>
      <w:r w:rsidRPr="00B06CCB">
        <w:rPr>
          <w:lang w:val="it-IT"/>
        </w:rPr>
        <w:t xml:space="preserve">: </w:t>
      </w:r>
      <w:r>
        <w:rPr>
          <w:lang w:val="it-IT"/>
        </w:rPr>
        <w:t>N.</w:t>
      </w:r>
      <w:r w:rsidRPr="00B06CCB">
        <w:rPr>
          <w:lang w:val="it-IT"/>
        </w:rPr>
        <w:t xml:space="preserve"> </w:t>
      </w:r>
      <w:proofErr w:type="spellStart"/>
      <w:r w:rsidRPr="00B06CCB">
        <w:rPr>
          <w:lang w:val="it-IT"/>
        </w:rPr>
        <w:t>Marushchenko</w:t>
      </w:r>
      <w:proofErr w:type="spellEnd"/>
      <w:r w:rsidRPr="00B06CCB">
        <w:rPr>
          <w:lang w:val="it-IT"/>
        </w:rPr>
        <w:t>)</w:t>
      </w:r>
    </w:p>
    <w:p w14:paraId="2093A890" w14:textId="378EB641" w:rsidR="00B06CCB" w:rsidRDefault="00B06CCB" w:rsidP="00892BB0">
      <w:pPr>
        <w:widowControl w:val="0"/>
        <w:autoSpaceDE w:val="0"/>
        <w:autoSpaceDN w:val="0"/>
        <w:adjustRightInd w:val="0"/>
        <w:spacing w:before="120" w:after="0" w:line="240" w:lineRule="auto"/>
        <w:jc w:val="both"/>
      </w:pPr>
      <w:r>
        <w:t xml:space="preserve">All the codes have a corresponding actor to run them in a </w:t>
      </w:r>
      <w:proofErr w:type="spellStart"/>
      <w:r>
        <w:t>Kepler</w:t>
      </w:r>
      <w:proofErr w:type="spellEnd"/>
      <w:r>
        <w:t xml:space="preserve"> environment,</w:t>
      </w:r>
      <w:r w:rsidR="00E43F7B">
        <w:t xml:space="preserve"> and they</w:t>
      </w:r>
      <w:r>
        <w:t xml:space="preserve"> </w:t>
      </w:r>
      <w:r w:rsidR="00E43F7B">
        <w:t xml:space="preserve">all use </w:t>
      </w:r>
      <w:r>
        <w:t xml:space="preserve">the same </w:t>
      </w:r>
      <w:r w:rsidR="00E43F7B">
        <w:t>set of</w:t>
      </w:r>
      <w:r>
        <w:t xml:space="preserve"> input/output CPOs</w:t>
      </w:r>
      <w:r w:rsidR="00E43F7B">
        <w:t xml:space="preserve">: </w:t>
      </w:r>
      <w:proofErr w:type="spellStart"/>
      <w:r w:rsidR="00E43F7B">
        <w:t>coreprof</w:t>
      </w:r>
      <w:proofErr w:type="spellEnd"/>
      <w:r w:rsidR="00E43F7B">
        <w:t>, equilibrium and antennas as input, waves as output</w:t>
      </w:r>
      <w:r>
        <w:t>.</w:t>
      </w:r>
    </w:p>
    <w:p w14:paraId="7C8B792C" w14:textId="54EBFEF8" w:rsidR="00E43F7B" w:rsidRDefault="00E43F7B" w:rsidP="00E43F7B">
      <w:pPr>
        <w:pStyle w:val="Heading2"/>
      </w:pPr>
      <w:r>
        <w:t>Update of data structure to 4.10b</w:t>
      </w:r>
    </w:p>
    <w:p w14:paraId="2E7B1CD5" w14:textId="0E4AE00B" w:rsidR="00C80730" w:rsidRDefault="00E43F7B" w:rsidP="00892BB0">
      <w:pPr>
        <w:spacing w:before="120" w:after="0" w:line="240" w:lineRule="auto"/>
        <w:jc w:val="both"/>
      </w:pPr>
      <w:r>
        <w:t>At the beginning of 2014 the WPCD data structure has be</w:t>
      </w:r>
      <w:r w:rsidR="00B7225C">
        <w:t xml:space="preserve">en updated to the 4.10b version, which, as far as EC codes are concerned, involved significant changes </w:t>
      </w:r>
      <w:r w:rsidR="006867AF">
        <w:t>mainly</w:t>
      </w:r>
      <w:r w:rsidR="00B7225C">
        <w:t xml:space="preserve"> in the distribution CPOs used by Fokker-Planck codes like LUKE and RELAX. Still</w:t>
      </w:r>
      <w:r w:rsidR="00C80730">
        <w:t>,</w:t>
      </w:r>
      <w:r w:rsidR="00B7225C">
        <w:t xml:space="preserve"> all the codes required </w:t>
      </w:r>
      <w:proofErr w:type="gramStart"/>
      <w:r w:rsidR="00B7225C">
        <w:t xml:space="preserve">to </w:t>
      </w:r>
      <w:r w:rsidR="006867AF">
        <w:t xml:space="preserve">be </w:t>
      </w:r>
      <w:r w:rsidR="00B7225C">
        <w:t>upgrade</w:t>
      </w:r>
      <w:r w:rsidR="006867AF">
        <w:t>d</w:t>
      </w:r>
      <w:r w:rsidR="00C80730">
        <w:t>,</w:t>
      </w:r>
      <w:r w:rsidR="00B7225C">
        <w:t xml:space="preserve"> recompile</w:t>
      </w:r>
      <w:r w:rsidR="006867AF">
        <w:t>d</w:t>
      </w:r>
      <w:r w:rsidR="00C80730">
        <w:t>,</w:t>
      </w:r>
      <w:r w:rsidR="00B7225C">
        <w:t xml:space="preserve"> and test</w:t>
      </w:r>
      <w:r w:rsidR="006867AF">
        <w:t>ed</w:t>
      </w:r>
      <w:proofErr w:type="gramEnd"/>
      <w:r w:rsidR="00B7225C">
        <w:t xml:space="preserve"> with the new version of the UAL.</w:t>
      </w:r>
    </w:p>
    <w:p w14:paraId="78F2A3B1" w14:textId="7A90F3E8" w:rsidR="00E43F7B" w:rsidRDefault="00E43F7B" w:rsidP="00E43F7B">
      <w:pPr>
        <w:pStyle w:val="Heading2"/>
      </w:pPr>
      <w:r>
        <w:t>Extended set of test cases</w:t>
      </w:r>
    </w:p>
    <w:p w14:paraId="03247CC5" w14:textId="78CA66B4" w:rsidR="0022401A" w:rsidRDefault="0022401A" w:rsidP="00892BB0">
      <w:pPr>
        <w:spacing w:before="120" w:after="0" w:line="240" w:lineRule="auto"/>
        <w:jc w:val="both"/>
      </w:pPr>
      <w:r>
        <w:t xml:space="preserve">A few variants have been created </w:t>
      </w:r>
      <w:r w:rsidR="00262238">
        <w:t xml:space="preserve">in 2013 </w:t>
      </w:r>
      <w:r>
        <w:t xml:space="preserve">of the original ITER baseline H-mode scenario </w:t>
      </w:r>
      <w:r w:rsidR="00203B26">
        <w:t xml:space="preserve">(user filo, machine test, shot 2, run 501) </w:t>
      </w:r>
      <w:r>
        <w:t>used for the benchmark performed in 2012:</w:t>
      </w:r>
    </w:p>
    <w:p w14:paraId="0ED70C5F" w14:textId="5574D7D4" w:rsidR="0022401A" w:rsidRDefault="0022401A" w:rsidP="00892BB0">
      <w:pPr>
        <w:pStyle w:val="ListParagraph"/>
        <w:widowControl w:val="0"/>
        <w:numPr>
          <w:ilvl w:val="0"/>
          <w:numId w:val="8"/>
        </w:numPr>
        <w:autoSpaceDE w:val="0"/>
        <w:autoSpaceDN w:val="0"/>
        <w:adjustRightInd w:val="0"/>
        <w:spacing w:after="0" w:line="240" w:lineRule="auto"/>
        <w:ind w:left="709" w:hanging="709"/>
        <w:contextualSpacing w:val="0"/>
        <w:jc w:val="both"/>
      </w:pPr>
      <w:r>
        <w:t xml:space="preserve">A set with low </w:t>
      </w:r>
      <w:r w:rsidR="00A40F55">
        <w:t>EC power</w:t>
      </w:r>
      <w:r w:rsidR="0004744B">
        <w:t xml:space="preserve"> (1 W instead of 1 MW)</w:t>
      </w:r>
      <w:r w:rsidR="00A40F55">
        <w:t xml:space="preserve"> and one</w:t>
      </w:r>
      <w:r w:rsidR="009C695D">
        <w:t xml:space="preserve"> out of three</w:t>
      </w:r>
      <w:r w:rsidR="00A40F55">
        <w:t xml:space="preserve"> </w:t>
      </w:r>
      <w:r w:rsidR="009C695D">
        <w:t>EC beams powered at each time slice, to verify any quasi-linear regime by comparing the results obtained by the LUKE cod</w:t>
      </w:r>
      <w:r w:rsidR="0004744B">
        <w:t>e with the other (linear) codes (user filo, machine test, shot 2, runs 551, 601)</w:t>
      </w:r>
    </w:p>
    <w:p w14:paraId="30552E8F" w14:textId="49A45599" w:rsidR="0004744B" w:rsidRDefault="0004744B" w:rsidP="00892BB0">
      <w:pPr>
        <w:pStyle w:val="ListParagraph"/>
        <w:widowControl w:val="0"/>
        <w:numPr>
          <w:ilvl w:val="0"/>
          <w:numId w:val="8"/>
        </w:numPr>
        <w:autoSpaceDE w:val="0"/>
        <w:autoSpaceDN w:val="0"/>
        <w:adjustRightInd w:val="0"/>
        <w:spacing w:after="0" w:line="240" w:lineRule="auto"/>
        <w:ind w:left="709" w:hanging="709"/>
        <w:contextualSpacing w:val="0"/>
        <w:jc w:val="both"/>
      </w:pPr>
      <w:r>
        <w:t>A second set of cases with gradually decreasing edge density, to observe how the codes handle the finite step found at the edge of the density profile (user filo, machine test, shot 2, runs 701, 801)</w:t>
      </w:r>
    </w:p>
    <w:p w14:paraId="3AB1A181" w14:textId="77777777" w:rsidR="0004744B" w:rsidRDefault="0004744B" w:rsidP="00892BB0">
      <w:pPr>
        <w:spacing w:before="120" w:after="0" w:line="240" w:lineRule="auto"/>
        <w:jc w:val="both"/>
      </w:pPr>
      <w:r>
        <w:t xml:space="preserve">Further details on these ITER test cases can be found at the following webpages: </w:t>
      </w:r>
    </w:p>
    <w:p w14:paraId="70074112" w14:textId="4B8DA602" w:rsidR="0004744B" w:rsidRDefault="000E3E4D" w:rsidP="00892BB0">
      <w:pPr>
        <w:widowControl w:val="0"/>
        <w:autoSpaceDE w:val="0"/>
        <w:autoSpaceDN w:val="0"/>
        <w:adjustRightInd w:val="0"/>
        <w:spacing w:after="0" w:line="240" w:lineRule="auto"/>
        <w:jc w:val="both"/>
      </w:pPr>
      <w:hyperlink r:id="rId6" w:history="1">
        <w:r w:rsidR="0004744B" w:rsidRPr="00E112FC">
          <w:rPr>
            <w:rStyle w:val="Hyperlink"/>
          </w:rPr>
          <w:t>http://portal.efda-itm.eu/twiki/bin/view/Main/IMP5_ValidationVerification_EC</w:t>
        </w:r>
      </w:hyperlink>
    </w:p>
    <w:p w14:paraId="58931034" w14:textId="75431EF9" w:rsidR="0004744B" w:rsidRDefault="000E3E4D" w:rsidP="00892BB0">
      <w:pPr>
        <w:widowControl w:val="0"/>
        <w:autoSpaceDE w:val="0"/>
        <w:autoSpaceDN w:val="0"/>
        <w:adjustRightInd w:val="0"/>
        <w:spacing w:after="0" w:line="240" w:lineRule="auto"/>
        <w:jc w:val="both"/>
      </w:pPr>
      <w:hyperlink r:id="rId7" w:history="1">
        <w:r w:rsidR="0004744B" w:rsidRPr="00E112FC">
          <w:rPr>
            <w:rStyle w:val="Hyperlink"/>
          </w:rPr>
          <w:t>http://portal.efda-itm.eu/twiki/bin/view/Main/CodeCamp2013_Lisbon_Figini_Lorenzo</w:t>
        </w:r>
      </w:hyperlink>
    </w:p>
    <w:p w14:paraId="10432FBF" w14:textId="707D82F1" w:rsidR="0004744B" w:rsidRDefault="00D24397" w:rsidP="00892BB0">
      <w:pPr>
        <w:spacing w:before="120" w:after="0" w:line="240" w:lineRule="auto"/>
        <w:jc w:val="both"/>
      </w:pPr>
      <w:r>
        <w:t>A</w:t>
      </w:r>
      <w:r w:rsidR="002A404F">
        <w:t>fter a</w:t>
      </w:r>
      <w:r>
        <w:t xml:space="preserve"> few bugs</w:t>
      </w:r>
      <w:r w:rsidR="002A404F">
        <w:t xml:space="preserve"> </w:t>
      </w:r>
      <w:r w:rsidR="000E3E4D">
        <w:t>have been found and</w:t>
      </w:r>
      <w:r w:rsidR="002A404F">
        <w:t xml:space="preserve"> fixed in the computation of refraction at the plasma edge and in the evaluation of the absorption coefficient</w:t>
      </w:r>
      <w:r w:rsidR="00AA75CD">
        <w:t xml:space="preserve"> for propagation at large </w:t>
      </w:r>
      <w:proofErr w:type="spellStart"/>
      <w:r w:rsidR="00AA75CD">
        <w:t>toroidal</w:t>
      </w:r>
      <w:proofErr w:type="spellEnd"/>
      <w:r w:rsidR="00AA75CD">
        <w:t xml:space="preserve"> angles (i.e. small angle between the wave vector and the magnetic field), the results issued by the codes were all solidly consistent, as </w:t>
      </w:r>
      <w:r w:rsidR="000E3E4D">
        <w:t>shown</w:t>
      </w:r>
      <w:r w:rsidR="00AA75CD">
        <w:t xml:space="preserve"> at the links above.</w:t>
      </w:r>
    </w:p>
    <w:p w14:paraId="62BE39B2" w14:textId="479C49E2" w:rsidR="00892BB0" w:rsidRDefault="00AA75CD" w:rsidP="00892BB0">
      <w:pPr>
        <w:spacing w:before="120" w:after="0" w:line="240" w:lineRule="auto"/>
        <w:jc w:val="both"/>
      </w:pPr>
      <w:r>
        <w:lastRenderedPageBreak/>
        <w:t xml:space="preserve">The absence </w:t>
      </w:r>
      <w:r w:rsidR="003E3B96">
        <w:t xml:space="preserve">any relevant </w:t>
      </w:r>
      <w:r>
        <w:t>quasi-linear effect</w:t>
      </w:r>
      <w:r w:rsidR="003E3B96">
        <w:t xml:space="preserve"> </w:t>
      </w:r>
      <w:r>
        <w:t>in current drive efficiency for the regime of the test case has been confirmed in 2014 with new runs for the C3PO/LUKE code:</w:t>
      </w:r>
    </w:p>
    <w:p w14:paraId="51CB482E" w14:textId="77777777" w:rsidR="00892BB0" w:rsidRDefault="00892BB0" w:rsidP="00892BB0">
      <w:pPr>
        <w:spacing w:before="120" w:after="0" w:line="240"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94"/>
        <w:gridCol w:w="1800"/>
        <w:gridCol w:w="1800"/>
      </w:tblGrid>
      <w:tr w:rsidR="00AA75CD" w:rsidRPr="003E3B96" w14:paraId="14E75AF6" w14:textId="77777777" w:rsidTr="003E3B96">
        <w:trPr>
          <w:jc w:val="center"/>
        </w:trPr>
        <w:tc>
          <w:tcPr>
            <w:tcW w:w="1594" w:type="dxa"/>
            <w:tcBorders>
              <w:top w:val="single" w:sz="4" w:space="0" w:color="auto"/>
            </w:tcBorders>
          </w:tcPr>
          <w:p w14:paraId="7D0221C0" w14:textId="77777777" w:rsidR="00AA75CD" w:rsidRPr="003E3B96" w:rsidRDefault="00AA75CD" w:rsidP="00892BB0">
            <w:pPr>
              <w:spacing w:after="0" w:line="240" w:lineRule="auto"/>
              <w:jc w:val="both"/>
              <w:rPr>
                <w:rFonts w:eastAsiaTheme="minorEastAsia" w:cs="Arial"/>
                <w:szCs w:val="24"/>
                <w:lang w:val="it-IT" w:eastAsia="it-IT"/>
              </w:rPr>
            </w:pPr>
            <w:r w:rsidRPr="003E3B96">
              <w:rPr>
                <w:rFonts w:eastAsiaTheme="minorEastAsia" w:cs="Arial"/>
                <w:szCs w:val="24"/>
                <w:lang w:val="it-IT" w:eastAsia="it-IT"/>
              </w:rPr>
              <w:t> </w:t>
            </w:r>
          </w:p>
        </w:tc>
        <w:tc>
          <w:tcPr>
            <w:tcW w:w="1800" w:type="dxa"/>
            <w:tcBorders>
              <w:top w:val="single" w:sz="4" w:space="0" w:color="auto"/>
            </w:tcBorders>
          </w:tcPr>
          <w:p w14:paraId="55D5AE0C" w14:textId="77777777" w:rsidR="00AA75CD" w:rsidRPr="003E3B96" w:rsidRDefault="00AA75CD" w:rsidP="00892BB0">
            <w:pPr>
              <w:spacing w:after="0" w:line="240" w:lineRule="auto"/>
              <w:jc w:val="both"/>
              <w:rPr>
                <w:rFonts w:eastAsiaTheme="minorEastAsia" w:cs="Arial"/>
                <w:b/>
                <w:szCs w:val="24"/>
                <w:lang w:val="it-IT" w:eastAsia="it-IT"/>
              </w:rPr>
            </w:pPr>
            <w:r w:rsidRPr="003E3B96">
              <w:rPr>
                <w:rFonts w:eastAsiaTheme="minorEastAsia" w:cs="Arial"/>
                <w:b/>
                <w:szCs w:val="24"/>
                <w:lang w:val="it-IT" w:eastAsia="it-IT"/>
              </w:rPr>
              <w:t>P = 1 MW</w:t>
            </w:r>
          </w:p>
        </w:tc>
        <w:tc>
          <w:tcPr>
            <w:tcW w:w="1800" w:type="dxa"/>
            <w:tcBorders>
              <w:top w:val="single" w:sz="4" w:space="0" w:color="auto"/>
            </w:tcBorders>
          </w:tcPr>
          <w:p w14:paraId="0182E066" w14:textId="77777777" w:rsidR="00AA75CD" w:rsidRPr="003E3B96" w:rsidRDefault="00AA75CD" w:rsidP="00892BB0">
            <w:pPr>
              <w:spacing w:after="0" w:line="240" w:lineRule="auto"/>
              <w:jc w:val="both"/>
              <w:rPr>
                <w:rFonts w:eastAsiaTheme="minorEastAsia" w:cs="Arial"/>
                <w:b/>
                <w:szCs w:val="24"/>
                <w:lang w:val="it-IT" w:eastAsia="it-IT"/>
              </w:rPr>
            </w:pPr>
            <w:r w:rsidRPr="003E3B96">
              <w:rPr>
                <w:rFonts w:eastAsiaTheme="minorEastAsia" w:cs="Arial"/>
                <w:b/>
                <w:szCs w:val="24"/>
                <w:lang w:val="it-IT" w:eastAsia="it-IT"/>
              </w:rPr>
              <w:t>P = 1 W</w:t>
            </w:r>
          </w:p>
        </w:tc>
      </w:tr>
      <w:tr w:rsidR="00AA75CD" w:rsidRPr="003E3B96" w14:paraId="70786532" w14:textId="77777777" w:rsidTr="003E3B96">
        <w:trPr>
          <w:jc w:val="center"/>
        </w:trPr>
        <w:tc>
          <w:tcPr>
            <w:tcW w:w="1594" w:type="dxa"/>
            <w:tcBorders>
              <w:bottom w:val="single" w:sz="4" w:space="0" w:color="auto"/>
            </w:tcBorders>
          </w:tcPr>
          <w:p w14:paraId="0A9941CC" w14:textId="77777777" w:rsidR="00AA75CD" w:rsidRPr="003E3B96" w:rsidRDefault="00AA75CD" w:rsidP="00892BB0">
            <w:pPr>
              <w:spacing w:after="0" w:line="240" w:lineRule="auto"/>
              <w:jc w:val="both"/>
              <w:rPr>
                <w:rFonts w:eastAsiaTheme="minorEastAsia" w:cs="Arial"/>
                <w:b/>
                <w:szCs w:val="24"/>
                <w:lang w:val="it-IT" w:eastAsia="it-IT"/>
              </w:rPr>
            </w:pPr>
            <w:proofErr w:type="spellStart"/>
            <w:r w:rsidRPr="003E3B96">
              <w:rPr>
                <w:rFonts w:eastAsiaTheme="minorEastAsia" w:cs="Arial"/>
                <w:b/>
                <w:szCs w:val="24"/>
                <w:lang w:val="it-IT" w:eastAsia="it-IT"/>
              </w:rPr>
              <w:t>Launcher</w:t>
            </w:r>
            <w:proofErr w:type="spellEnd"/>
          </w:p>
        </w:tc>
        <w:tc>
          <w:tcPr>
            <w:tcW w:w="1800" w:type="dxa"/>
            <w:tcBorders>
              <w:bottom w:val="single" w:sz="4" w:space="0" w:color="auto"/>
            </w:tcBorders>
          </w:tcPr>
          <w:p w14:paraId="347DF774" w14:textId="77777777" w:rsidR="00AA75CD" w:rsidRPr="003E3B96" w:rsidRDefault="00AA75CD" w:rsidP="00892BB0">
            <w:pPr>
              <w:spacing w:after="0" w:line="240" w:lineRule="auto"/>
              <w:jc w:val="both"/>
              <w:rPr>
                <w:rFonts w:eastAsiaTheme="minorEastAsia" w:cs="Arial"/>
                <w:b/>
                <w:szCs w:val="24"/>
                <w:lang w:val="it-IT" w:eastAsia="it-IT"/>
              </w:rPr>
            </w:pPr>
            <w:proofErr w:type="spellStart"/>
            <w:r w:rsidRPr="003E3B96">
              <w:rPr>
                <w:rFonts w:eastAsiaTheme="minorEastAsia" w:cs="Arial"/>
                <w:b/>
                <w:szCs w:val="24"/>
                <w:lang w:val="it-IT" w:eastAsia="it-IT"/>
              </w:rPr>
              <w:t>I</w:t>
            </w:r>
            <w:r w:rsidRPr="003E3B96">
              <w:rPr>
                <w:rFonts w:eastAsiaTheme="minorEastAsia" w:cs="Arial"/>
                <w:b/>
                <w:szCs w:val="24"/>
                <w:vertAlign w:val="subscript"/>
                <w:lang w:val="it-IT" w:eastAsia="it-IT"/>
              </w:rPr>
              <w:t>cd</w:t>
            </w:r>
            <w:proofErr w:type="spellEnd"/>
            <w:r w:rsidRPr="003E3B96">
              <w:rPr>
                <w:rFonts w:eastAsiaTheme="minorEastAsia" w:cs="Arial"/>
                <w:b/>
                <w:szCs w:val="24"/>
                <w:lang w:val="it-IT" w:eastAsia="it-IT"/>
              </w:rPr>
              <w:t>/P (</w:t>
            </w:r>
            <w:proofErr w:type="spellStart"/>
            <w:r w:rsidRPr="003E3B96">
              <w:rPr>
                <w:rFonts w:eastAsiaTheme="minorEastAsia" w:cs="Arial"/>
                <w:b/>
                <w:szCs w:val="24"/>
                <w:lang w:val="it-IT" w:eastAsia="it-IT"/>
              </w:rPr>
              <w:t>kA</w:t>
            </w:r>
            <w:proofErr w:type="spellEnd"/>
            <w:r w:rsidRPr="003E3B96">
              <w:rPr>
                <w:rFonts w:eastAsiaTheme="minorEastAsia" w:cs="Arial"/>
                <w:b/>
                <w:szCs w:val="24"/>
                <w:lang w:val="it-IT" w:eastAsia="it-IT"/>
              </w:rPr>
              <w:t>/MW)</w:t>
            </w:r>
          </w:p>
        </w:tc>
        <w:tc>
          <w:tcPr>
            <w:tcW w:w="1800" w:type="dxa"/>
            <w:tcBorders>
              <w:bottom w:val="single" w:sz="4" w:space="0" w:color="auto"/>
            </w:tcBorders>
          </w:tcPr>
          <w:p w14:paraId="5F8AF225" w14:textId="77777777" w:rsidR="00AA75CD" w:rsidRPr="003E3B96" w:rsidRDefault="00AA75CD" w:rsidP="00892BB0">
            <w:pPr>
              <w:spacing w:after="0" w:line="240" w:lineRule="auto"/>
              <w:jc w:val="both"/>
              <w:rPr>
                <w:rFonts w:eastAsiaTheme="minorEastAsia" w:cs="Arial"/>
                <w:b/>
                <w:szCs w:val="24"/>
                <w:lang w:val="it-IT" w:eastAsia="it-IT"/>
              </w:rPr>
            </w:pPr>
            <w:proofErr w:type="spellStart"/>
            <w:r w:rsidRPr="003E3B96">
              <w:rPr>
                <w:rFonts w:eastAsiaTheme="minorEastAsia" w:cs="Arial"/>
                <w:b/>
                <w:szCs w:val="24"/>
                <w:lang w:val="it-IT" w:eastAsia="it-IT"/>
              </w:rPr>
              <w:t>I</w:t>
            </w:r>
            <w:r w:rsidRPr="003E3B96">
              <w:rPr>
                <w:rFonts w:eastAsiaTheme="minorEastAsia" w:cs="Arial"/>
                <w:b/>
                <w:szCs w:val="24"/>
                <w:vertAlign w:val="subscript"/>
                <w:lang w:val="it-IT" w:eastAsia="it-IT"/>
              </w:rPr>
              <w:t>cd</w:t>
            </w:r>
            <w:proofErr w:type="spellEnd"/>
            <w:r w:rsidRPr="003E3B96">
              <w:rPr>
                <w:rFonts w:eastAsiaTheme="minorEastAsia" w:cs="Arial"/>
                <w:b/>
                <w:szCs w:val="24"/>
                <w:lang w:val="it-IT" w:eastAsia="it-IT"/>
              </w:rPr>
              <w:t>/P (</w:t>
            </w:r>
            <w:proofErr w:type="spellStart"/>
            <w:r w:rsidRPr="003E3B96">
              <w:rPr>
                <w:rFonts w:eastAsiaTheme="minorEastAsia" w:cs="Arial"/>
                <w:b/>
                <w:szCs w:val="24"/>
                <w:lang w:val="it-IT" w:eastAsia="it-IT"/>
              </w:rPr>
              <w:t>kA</w:t>
            </w:r>
            <w:proofErr w:type="spellEnd"/>
            <w:r w:rsidRPr="003E3B96">
              <w:rPr>
                <w:rFonts w:eastAsiaTheme="minorEastAsia" w:cs="Arial"/>
                <w:b/>
                <w:szCs w:val="24"/>
                <w:lang w:val="it-IT" w:eastAsia="it-IT"/>
              </w:rPr>
              <w:t>/MW)</w:t>
            </w:r>
          </w:p>
        </w:tc>
      </w:tr>
      <w:tr w:rsidR="00AA75CD" w:rsidRPr="003E3B96" w14:paraId="7892EBCE" w14:textId="77777777" w:rsidTr="003E3B96">
        <w:trPr>
          <w:jc w:val="center"/>
        </w:trPr>
        <w:tc>
          <w:tcPr>
            <w:tcW w:w="1594" w:type="dxa"/>
            <w:tcBorders>
              <w:top w:val="single" w:sz="4" w:space="0" w:color="auto"/>
            </w:tcBorders>
          </w:tcPr>
          <w:p w14:paraId="55CF18F6" w14:textId="77777777" w:rsidR="00AA75CD" w:rsidRPr="003E3B96" w:rsidRDefault="00AA75CD" w:rsidP="00892BB0">
            <w:pPr>
              <w:spacing w:after="0" w:line="240" w:lineRule="auto"/>
              <w:jc w:val="both"/>
              <w:rPr>
                <w:rFonts w:eastAsiaTheme="minorEastAsia" w:cs="Arial"/>
                <w:b/>
                <w:szCs w:val="24"/>
                <w:lang w:val="it-IT" w:eastAsia="it-IT"/>
              </w:rPr>
            </w:pPr>
            <w:r w:rsidRPr="003E3B96">
              <w:rPr>
                <w:rFonts w:eastAsiaTheme="minorEastAsia" w:cs="Arial"/>
                <w:b/>
                <w:szCs w:val="24"/>
                <w:lang w:val="it-IT" w:eastAsia="it-IT"/>
              </w:rPr>
              <w:t>EL25</w:t>
            </w:r>
          </w:p>
        </w:tc>
        <w:tc>
          <w:tcPr>
            <w:tcW w:w="1800" w:type="dxa"/>
            <w:tcBorders>
              <w:top w:val="single" w:sz="4" w:space="0" w:color="auto"/>
            </w:tcBorders>
          </w:tcPr>
          <w:p w14:paraId="04FD817E" w14:textId="77777777" w:rsidR="00AA75CD" w:rsidRPr="003E3B96" w:rsidRDefault="00AA75CD" w:rsidP="00892BB0">
            <w:pPr>
              <w:spacing w:after="0" w:line="240" w:lineRule="auto"/>
              <w:jc w:val="both"/>
              <w:rPr>
                <w:rFonts w:eastAsiaTheme="minorEastAsia" w:cs="Arial"/>
                <w:szCs w:val="24"/>
                <w:lang w:val="it-IT" w:eastAsia="it-IT"/>
              </w:rPr>
            </w:pPr>
            <w:r w:rsidRPr="003E3B96">
              <w:rPr>
                <w:rFonts w:eastAsiaTheme="minorEastAsia" w:cs="Arial"/>
                <w:szCs w:val="24"/>
                <w:lang w:val="it-IT" w:eastAsia="it-IT"/>
              </w:rPr>
              <w:t>40.322</w:t>
            </w:r>
          </w:p>
        </w:tc>
        <w:tc>
          <w:tcPr>
            <w:tcW w:w="1800" w:type="dxa"/>
            <w:tcBorders>
              <w:top w:val="single" w:sz="4" w:space="0" w:color="auto"/>
            </w:tcBorders>
          </w:tcPr>
          <w:p w14:paraId="0C5D7660" w14:textId="77777777" w:rsidR="00AA75CD" w:rsidRPr="003E3B96" w:rsidRDefault="00AA75CD" w:rsidP="00892BB0">
            <w:pPr>
              <w:spacing w:after="0" w:line="240" w:lineRule="auto"/>
              <w:jc w:val="both"/>
              <w:rPr>
                <w:rFonts w:eastAsiaTheme="minorEastAsia" w:cs="Arial"/>
                <w:szCs w:val="24"/>
                <w:lang w:val="it-IT" w:eastAsia="it-IT"/>
              </w:rPr>
            </w:pPr>
            <w:r w:rsidRPr="003E3B96">
              <w:rPr>
                <w:rFonts w:eastAsiaTheme="minorEastAsia" w:cs="Arial"/>
                <w:szCs w:val="24"/>
                <w:lang w:val="it-IT" w:eastAsia="it-IT"/>
              </w:rPr>
              <w:t>40.245</w:t>
            </w:r>
          </w:p>
        </w:tc>
      </w:tr>
      <w:tr w:rsidR="00AA75CD" w:rsidRPr="003E3B96" w14:paraId="653E1A42" w14:textId="77777777" w:rsidTr="003E3B96">
        <w:trPr>
          <w:jc w:val="center"/>
        </w:trPr>
        <w:tc>
          <w:tcPr>
            <w:tcW w:w="1594" w:type="dxa"/>
          </w:tcPr>
          <w:p w14:paraId="376D411C" w14:textId="77777777" w:rsidR="00AA75CD" w:rsidRPr="003E3B96" w:rsidRDefault="00AA75CD" w:rsidP="00892BB0">
            <w:pPr>
              <w:spacing w:after="0" w:line="240" w:lineRule="auto"/>
              <w:jc w:val="both"/>
              <w:rPr>
                <w:rFonts w:eastAsiaTheme="minorEastAsia" w:cs="Arial"/>
                <w:b/>
                <w:szCs w:val="24"/>
                <w:lang w:val="it-IT" w:eastAsia="it-IT"/>
              </w:rPr>
            </w:pPr>
            <w:r w:rsidRPr="003E3B96">
              <w:rPr>
                <w:rFonts w:eastAsiaTheme="minorEastAsia" w:cs="Arial"/>
                <w:b/>
                <w:szCs w:val="24"/>
                <w:lang w:val="it-IT" w:eastAsia="it-IT"/>
              </w:rPr>
              <w:t>EL40</w:t>
            </w:r>
          </w:p>
        </w:tc>
        <w:tc>
          <w:tcPr>
            <w:tcW w:w="1800" w:type="dxa"/>
          </w:tcPr>
          <w:p w14:paraId="7567B200" w14:textId="77777777" w:rsidR="00AA75CD" w:rsidRPr="003E3B96" w:rsidRDefault="00AA75CD" w:rsidP="00892BB0">
            <w:pPr>
              <w:spacing w:after="0" w:line="240" w:lineRule="auto"/>
              <w:jc w:val="both"/>
              <w:rPr>
                <w:rFonts w:eastAsiaTheme="minorEastAsia" w:cs="Arial"/>
                <w:szCs w:val="24"/>
                <w:lang w:val="it-IT" w:eastAsia="it-IT"/>
              </w:rPr>
            </w:pPr>
            <w:r w:rsidRPr="003E3B96">
              <w:rPr>
                <w:rFonts w:eastAsiaTheme="minorEastAsia" w:cs="Arial"/>
                <w:szCs w:val="24"/>
                <w:lang w:val="it-IT" w:eastAsia="it-IT"/>
              </w:rPr>
              <w:t>18.088</w:t>
            </w:r>
          </w:p>
        </w:tc>
        <w:tc>
          <w:tcPr>
            <w:tcW w:w="1800" w:type="dxa"/>
          </w:tcPr>
          <w:p w14:paraId="26249A3F" w14:textId="77777777" w:rsidR="00AA75CD" w:rsidRPr="003E3B96" w:rsidRDefault="00AA75CD" w:rsidP="00892BB0">
            <w:pPr>
              <w:spacing w:after="0" w:line="240" w:lineRule="auto"/>
              <w:jc w:val="both"/>
              <w:rPr>
                <w:rFonts w:eastAsiaTheme="minorEastAsia" w:cs="Arial"/>
                <w:szCs w:val="24"/>
                <w:lang w:val="it-IT" w:eastAsia="it-IT"/>
              </w:rPr>
            </w:pPr>
            <w:r w:rsidRPr="003E3B96">
              <w:rPr>
                <w:rFonts w:eastAsiaTheme="minorEastAsia" w:cs="Arial"/>
                <w:szCs w:val="24"/>
                <w:lang w:val="it-IT" w:eastAsia="it-IT"/>
              </w:rPr>
              <w:t>18.079</w:t>
            </w:r>
          </w:p>
        </w:tc>
      </w:tr>
      <w:tr w:rsidR="00AA75CD" w:rsidRPr="003E3B96" w14:paraId="4DCFBAD0" w14:textId="77777777" w:rsidTr="003E3B96">
        <w:trPr>
          <w:jc w:val="center"/>
        </w:trPr>
        <w:tc>
          <w:tcPr>
            <w:tcW w:w="1594" w:type="dxa"/>
            <w:tcBorders>
              <w:bottom w:val="single" w:sz="4" w:space="0" w:color="auto"/>
            </w:tcBorders>
          </w:tcPr>
          <w:p w14:paraId="1A8238BC" w14:textId="77777777" w:rsidR="00AA75CD" w:rsidRPr="003E3B96" w:rsidRDefault="00AA75CD" w:rsidP="00892BB0">
            <w:pPr>
              <w:spacing w:after="0" w:line="240" w:lineRule="auto"/>
              <w:jc w:val="both"/>
              <w:rPr>
                <w:rFonts w:eastAsiaTheme="minorEastAsia" w:cs="Arial"/>
                <w:b/>
                <w:szCs w:val="24"/>
                <w:lang w:val="it-IT" w:eastAsia="it-IT"/>
              </w:rPr>
            </w:pPr>
            <w:r w:rsidRPr="003E3B96">
              <w:rPr>
                <w:rFonts w:eastAsiaTheme="minorEastAsia" w:cs="Arial"/>
                <w:b/>
                <w:szCs w:val="24"/>
                <w:lang w:val="it-IT" w:eastAsia="it-IT"/>
              </w:rPr>
              <w:t>UL</w:t>
            </w:r>
          </w:p>
        </w:tc>
        <w:tc>
          <w:tcPr>
            <w:tcW w:w="1800" w:type="dxa"/>
            <w:tcBorders>
              <w:bottom w:val="single" w:sz="4" w:space="0" w:color="auto"/>
            </w:tcBorders>
          </w:tcPr>
          <w:p w14:paraId="10C74736" w14:textId="77777777" w:rsidR="00AA75CD" w:rsidRPr="003E3B96" w:rsidRDefault="00AA75CD" w:rsidP="00892BB0">
            <w:pPr>
              <w:spacing w:after="0" w:line="240" w:lineRule="auto"/>
              <w:jc w:val="both"/>
              <w:rPr>
                <w:rFonts w:eastAsiaTheme="minorEastAsia" w:cs="Arial"/>
                <w:szCs w:val="24"/>
                <w:lang w:val="it-IT" w:eastAsia="it-IT"/>
              </w:rPr>
            </w:pPr>
            <w:r w:rsidRPr="003E3B96">
              <w:rPr>
                <w:rFonts w:eastAsiaTheme="minorEastAsia" w:cs="Arial"/>
                <w:szCs w:val="24"/>
                <w:lang w:val="it-IT" w:eastAsia="it-IT"/>
              </w:rPr>
              <w:t>7.1119</w:t>
            </w:r>
          </w:p>
        </w:tc>
        <w:tc>
          <w:tcPr>
            <w:tcW w:w="1800" w:type="dxa"/>
            <w:tcBorders>
              <w:bottom w:val="single" w:sz="4" w:space="0" w:color="auto"/>
            </w:tcBorders>
          </w:tcPr>
          <w:p w14:paraId="48039DF6" w14:textId="77777777" w:rsidR="00AA75CD" w:rsidRPr="003E3B96" w:rsidRDefault="00AA75CD" w:rsidP="00892BB0">
            <w:pPr>
              <w:spacing w:after="0" w:line="240" w:lineRule="auto"/>
              <w:jc w:val="both"/>
              <w:rPr>
                <w:rFonts w:eastAsiaTheme="minorEastAsia" w:cs="Arial"/>
                <w:szCs w:val="24"/>
                <w:lang w:val="it-IT" w:eastAsia="it-IT"/>
              </w:rPr>
            </w:pPr>
            <w:r w:rsidRPr="003E3B96">
              <w:rPr>
                <w:rFonts w:eastAsiaTheme="minorEastAsia" w:cs="Arial"/>
                <w:szCs w:val="24"/>
                <w:lang w:val="it-IT" w:eastAsia="it-IT"/>
              </w:rPr>
              <w:t>7.0616</w:t>
            </w:r>
          </w:p>
        </w:tc>
      </w:tr>
    </w:tbl>
    <w:p w14:paraId="2BEE015F" w14:textId="567F1E79" w:rsidR="003E3B96" w:rsidRDefault="003E3B96" w:rsidP="00892BB0">
      <w:pPr>
        <w:spacing w:before="120" w:after="0" w:line="240" w:lineRule="auto"/>
        <w:jc w:val="both"/>
      </w:pPr>
      <w:r w:rsidRPr="0076542B">
        <w:t xml:space="preserve">New </w:t>
      </w:r>
      <w:r>
        <w:t xml:space="preserve">test </w:t>
      </w:r>
      <w:r w:rsidRPr="0076542B">
        <w:t>cases</w:t>
      </w:r>
      <w:r>
        <w:t xml:space="preserve"> have been created in 2014</w:t>
      </w:r>
      <w:r w:rsidR="00957997">
        <w:t>, which represent</w:t>
      </w:r>
      <w:r>
        <w:t xml:space="preserve"> a set of scenarios covering a wide range of machine sizes</w:t>
      </w:r>
      <w:r w:rsidR="00957997">
        <w:t xml:space="preserve"> and very different plasma parameters (</w:t>
      </w:r>
      <w:proofErr w:type="spellStart"/>
      <w:r w:rsidR="00957997">
        <w:t>Asdex</w:t>
      </w:r>
      <w:proofErr w:type="spellEnd"/>
      <w:r w:rsidR="00957997">
        <w:t>-U, ITER, DEMO), in order to</w:t>
      </w:r>
      <w:r>
        <w:t xml:space="preserve"> test</w:t>
      </w:r>
      <w:r w:rsidR="00957997">
        <w:t xml:space="preserve"> </w:t>
      </w:r>
      <w:r>
        <w:t>the codes under different physics regimes:</w:t>
      </w:r>
    </w:p>
    <w:p w14:paraId="35351DC8" w14:textId="6E6E89F0" w:rsidR="003E3B96" w:rsidRDefault="00E95093" w:rsidP="00892BB0">
      <w:pPr>
        <w:pStyle w:val="ListParagraph"/>
        <w:widowControl w:val="0"/>
        <w:numPr>
          <w:ilvl w:val="0"/>
          <w:numId w:val="9"/>
        </w:numPr>
        <w:autoSpaceDE w:val="0"/>
        <w:autoSpaceDN w:val="0"/>
        <w:adjustRightInd w:val="0"/>
        <w:spacing w:after="0" w:line="240" w:lineRule="auto"/>
        <w:ind w:left="709" w:hanging="709"/>
        <w:contextualSpacing w:val="0"/>
        <w:jc w:val="both"/>
      </w:pPr>
      <w:proofErr w:type="gramStart"/>
      <w:r>
        <w:t>user</w:t>
      </w:r>
      <w:proofErr w:type="gramEnd"/>
      <w:r>
        <w:t xml:space="preserve"> filo, </w:t>
      </w:r>
      <w:r w:rsidR="003E3B96">
        <w:t xml:space="preserve">machine </w:t>
      </w:r>
      <w:proofErr w:type="spellStart"/>
      <w:r w:rsidR="003E3B96">
        <w:t>aug</w:t>
      </w:r>
      <w:proofErr w:type="spellEnd"/>
      <w:r w:rsidR="003E3B96">
        <w:t>, shot 302</w:t>
      </w:r>
      <w:r w:rsidR="00957997">
        <w:t>63, runs 1-4</w:t>
      </w:r>
    </w:p>
    <w:p w14:paraId="7195321B" w14:textId="4810B38E" w:rsidR="00957997" w:rsidRDefault="00E95093" w:rsidP="00892BB0">
      <w:pPr>
        <w:pStyle w:val="ListParagraph"/>
        <w:widowControl w:val="0"/>
        <w:numPr>
          <w:ilvl w:val="0"/>
          <w:numId w:val="9"/>
        </w:numPr>
        <w:autoSpaceDE w:val="0"/>
        <w:autoSpaceDN w:val="0"/>
        <w:adjustRightInd w:val="0"/>
        <w:spacing w:after="0" w:line="240" w:lineRule="auto"/>
        <w:ind w:left="709" w:hanging="709"/>
        <w:contextualSpacing w:val="0"/>
        <w:jc w:val="both"/>
      </w:pPr>
      <w:proofErr w:type="gramStart"/>
      <w:r>
        <w:t>user</w:t>
      </w:r>
      <w:proofErr w:type="gramEnd"/>
      <w:r>
        <w:t xml:space="preserve"> filo, </w:t>
      </w:r>
      <w:r w:rsidR="00957997">
        <w:t>machine demo1, shot 666, run 12</w:t>
      </w:r>
    </w:p>
    <w:p w14:paraId="23A14848" w14:textId="43C5238E" w:rsidR="00B56D9E" w:rsidRDefault="00E95093" w:rsidP="00892BB0">
      <w:pPr>
        <w:pStyle w:val="ListParagraph"/>
        <w:widowControl w:val="0"/>
        <w:numPr>
          <w:ilvl w:val="0"/>
          <w:numId w:val="9"/>
        </w:numPr>
        <w:autoSpaceDE w:val="0"/>
        <w:autoSpaceDN w:val="0"/>
        <w:adjustRightInd w:val="0"/>
        <w:spacing w:after="0" w:line="240" w:lineRule="auto"/>
        <w:ind w:left="709" w:hanging="709"/>
        <w:contextualSpacing w:val="0"/>
        <w:jc w:val="both"/>
      </w:pPr>
      <w:proofErr w:type="gramStart"/>
      <w:r>
        <w:t>user</w:t>
      </w:r>
      <w:proofErr w:type="gramEnd"/>
      <w:r>
        <w:t xml:space="preserve"> filo, </w:t>
      </w:r>
      <w:r w:rsidR="00957997">
        <w:t xml:space="preserve">machine </w:t>
      </w:r>
      <w:proofErr w:type="spellStart"/>
      <w:r w:rsidR="00957997">
        <w:t>iter</w:t>
      </w:r>
      <w:proofErr w:type="spellEnd"/>
      <w:r w:rsidR="00957997">
        <w:t>, shot 6, run 1</w:t>
      </w:r>
    </w:p>
    <w:p w14:paraId="6526FFCF" w14:textId="4E43F9F9" w:rsidR="00957997" w:rsidRDefault="000E3E4D" w:rsidP="00892BB0">
      <w:pPr>
        <w:tabs>
          <w:tab w:val="left" w:pos="220"/>
          <w:tab w:val="left" w:pos="720"/>
        </w:tabs>
        <w:spacing w:before="120" w:after="0" w:line="240" w:lineRule="auto"/>
        <w:jc w:val="both"/>
      </w:pPr>
      <w:r>
        <w:t xml:space="preserve">For this purpose, a few tools to fill </w:t>
      </w:r>
      <w:proofErr w:type="spellStart"/>
      <w:r>
        <w:t>coreprof</w:t>
      </w:r>
      <w:proofErr w:type="spellEnd"/>
      <w:r>
        <w:t xml:space="preserve"> and equilibrium data from ASCII files has been developed (e.g. </w:t>
      </w:r>
      <w:hyperlink r:id="rId8" w:history="1">
        <w:r w:rsidRPr="004B18D2">
          <w:rPr>
            <w:rStyle w:val="Hyperlink"/>
          </w:rPr>
          <w:t>http://portal.efda-itm.eu/twiki/bin/view/Main/IMP5#How_do_generate_an_equilibrium_C</w:t>
        </w:r>
      </w:hyperlink>
      <w:r>
        <w:t xml:space="preserve">). </w:t>
      </w:r>
      <w:r w:rsidR="00957997">
        <w:t>The shots have been prepared for multiple versions of the data structure (4.09a, 4.10a, 4.10b) to allow code verification when upgrading from one version to the next.</w:t>
      </w:r>
    </w:p>
    <w:p w14:paraId="7614F4CE" w14:textId="20D9B327" w:rsidR="009D117B" w:rsidRDefault="000E3E4D" w:rsidP="00892BB0">
      <w:pPr>
        <w:tabs>
          <w:tab w:val="left" w:pos="220"/>
          <w:tab w:val="left" w:pos="720"/>
        </w:tabs>
        <w:spacing w:before="120" w:after="0" w:line="240" w:lineRule="auto"/>
        <w:jc w:val="both"/>
      </w:pPr>
      <w:r>
        <w:t>A database of EC antennas configurations has also been compiled, to use in the HCD workflow as well as in verification/benchmarking workflows</w:t>
      </w:r>
      <w:r w:rsidR="009D117B">
        <w:t xml:space="preserve">: </w:t>
      </w:r>
      <w:hyperlink r:id="rId9" w:history="1">
        <w:r w:rsidR="009D117B" w:rsidRPr="004B18D2">
          <w:rPr>
            <w:rStyle w:val="Hyperlink"/>
          </w:rPr>
          <w:t>http://www.efda-itm.eu/ITM/html/imp5_ECAntennaDatabase.html</w:t>
        </w:r>
      </w:hyperlink>
      <w:r w:rsidR="009D117B">
        <w:t>.</w:t>
      </w:r>
    </w:p>
    <w:p w14:paraId="2757440D" w14:textId="05AEBB13" w:rsidR="003E3B96" w:rsidRDefault="009D117B" w:rsidP="00892BB0">
      <w:pPr>
        <w:tabs>
          <w:tab w:val="left" w:pos="220"/>
          <w:tab w:val="left" w:pos="720"/>
        </w:tabs>
        <w:spacing w:before="120" w:after="0" w:line="240" w:lineRule="auto"/>
        <w:jc w:val="both"/>
      </w:pPr>
      <w:r>
        <w:t>The new test cases allow a more detailed verification of the codes, including sign consistency in reading the input data and in writing the output CPOs, and both O- and X-mode absorption</w:t>
      </w:r>
      <w:r w:rsidR="00DA35F1">
        <w:t>.</w:t>
      </w:r>
      <w:r>
        <w:t xml:space="preserve"> The AUG shot</w:t>
      </w:r>
      <w:r w:rsidR="00DA35F1">
        <w:t xml:space="preserve"> has variants for all the sign combinations of </w:t>
      </w:r>
      <w:proofErr w:type="spellStart"/>
      <w:r w:rsidR="00DA35F1">
        <w:t>toroidal</w:t>
      </w:r>
      <w:proofErr w:type="spellEnd"/>
      <w:r w:rsidR="00DA35F1">
        <w:t xml:space="preserve"> magnetic field, plasma current and </w:t>
      </w:r>
      <w:proofErr w:type="spellStart"/>
      <w:r w:rsidR="00DA35F1">
        <w:t>toroidal</w:t>
      </w:r>
      <w:proofErr w:type="spellEnd"/>
      <w:r w:rsidR="00DA35F1">
        <w:t xml:space="preserve"> injection angle </w:t>
      </w:r>
      <w:r w:rsidR="00DA35F1" w:rsidRPr="00DA35F1">
        <w:rPr>
          <w:rFonts w:ascii="Symbol" w:hAnsi="Symbol"/>
        </w:rPr>
        <w:t></w:t>
      </w:r>
      <w:r w:rsidR="00DA35F1">
        <w:t>,</w:t>
      </w:r>
    </w:p>
    <w:p w14:paraId="1039854F" w14:textId="77777777" w:rsidR="00DA35F1" w:rsidRDefault="00DA35F1" w:rsidP="00892BB0">
      <w:pPr>
        <w:tabs>
          <w:tab w:val="left" w:pos="220"/>
          <w:tab w:val="left" w:pos="720"/>
        </w:tabs>
        <w:spacing w:before="120" w:after="0" w:line="240"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594"/>
        <w:gridCol w:w="1800"/>
        <w:gridCol w:w="1800"/>
        <w:gridCol w:w="1800"/>
        <w:gridCol w:w="1800"/>
      </w:tblGrid>
      <w:tr w:rsidR="00DA35F1" w:rsidRPr="003E3B96" w14:paraId="6EC7E844" w14:textId="6D13B8A2" w:rsidTr="00DA35F1">
        <w:trPr>
          <w:jc w:val="center"/>
        </w:trPr>
        <w:tc>
          <w:tcPr>
            <w:tcW w:w="1594" w:type="dxa"/>
            <w:tcBorders>
              <w:top w:val="single" w:sz="4" w:space="0" w:color="auto"/>
            </w:tcBorders>
          </w:tcPr>
          <w:p w14:paraId="117D9B75" w14:textId="363F4D8B" w:rsidR="00DA35F1" w:rsidRPr="00DA35F1" w:rsidRDefault="00DA35F1" w:rsidP="00892BB0">
            <w:pPr>
              <w:spacing w:after="0" w:line="240" w:lineRule="auto"/>
              <w:jc w:val="both"/>
              <w:rPr>
                <w:rFonts w:eastAsiaTheme="minorEastAsia" w:cs="Arial"/>
                <w:b/>
                <w:szCs w:val="24"/>
                <w:lang w:val="it-IT" w:eastAsia="it-IT"/>
              </w:rPr>
            </w:pPr>
            <w:proofErr w:type="spellStart"/>
            <w:r w:rsidRPr="00DA35F1">
              <w:rPr>
                <w:rFonts w:eastAsiaTheme="minorEastAsia" w:cs="Arial"/>
                <w:b/>
                <w:szCs w:val="24"/>
                <w:lang w:val="it-IT" w:eastAsia="it-IT"/>
              </w:rPr>
              <w:t>Run</w:t>
            </w:r>
            <w:proofErr w:type="spellEnd"/>
          </w:p>
        </w:tc>
        <w:tc>
          <w:tcPr>
            <w:tcW w:w="1800" w:type="dxa"/>
            <w:tcBorders>
              <w:top w:val="single" w:sz="4" w:space="0" w:color="auto"/>
            </w:tcBorders>
          </w:tcPr>
          <w:p w14:paraId="711FF6A9" w14:textId="67784A13" w:rsidR="00DA35F1" w:rsidRDefault="00DA35F1" w:rsidP="00892BB0">
            <w:pPr>
              <w:spacing w:after="0" w:line="240" w:lineRule="auto"/>
              <w:jc w:val="both"/>
              <w:rPr>
                <w:rFonts w:eastAsiaTheme="minorEastAsia" w:cs="Arial"/>
                <w:b/>
                <w:szCs w:val="24"/>
                <w:lang w:val="it-IT" w:eastAsia="it-IT"/>
              </w:rPr>
            </w:pPr>
            <w:proofErr w:type="gramStart"/>
            <w:r>
              <w:rPr>
                <w:rFonts w:eastAsiaTheme="minorEastAsia" w:cs="Arial"/>
                <w:b/>
                <w:szCs w:val="24"/>
                <w:lang w:val="it-IT" w:eastAsia="it-IT"/>
              </w:rPr>
              <w:t>time</w:t>
            </w:r>
            <w:proofErr w:type="gramEnd"/>
            <w:r>
              <w:rPr>
                <w:rFonts w:eastAsiaTheme="minorEastAsia" w:cs="Arial"/>
                <w:b/>
                <w:szCs w:val="24"/>
                <w:lang w:val="it-IT" w:eastAsia="it-IT"/>
              </w:rPr>
              <w:t xml:space="preserve"> (s)</w:t>
            </w:r>
          </w:p>
        </w:tc>
        <w:tc>
          <w:tcPr>
            <w:tcW w:w="1800" w:type="dxa"/>
            <w:tcBorders>
              <w:top w:val="single" w:sz="4" w:space="0" w:color="auto"/>
            </w:tcBorders>
          </w:tcPr>
          <w:p w14:paraId="1AC19D44" w14:textId="257E1608" w:rsidR="00DA35F1" w:rsidRPr="003E3B96" w:rsidRDefault="00DA35F1" w:rsidP="00892BB0">
            <w:pPr>
              <w:spacing w:after="0" w:line="240" w:lineRule="auto"/>
              <w:jc w:val="both"/>
              <w:rPr>
                <w:rFonts w:eastAsiaTheme="minorEastAsia" w:cs="Arial"/>
                <w:b/>
                <w:szCs w:val="24"/>
                <w:lang w:val="it-IT" w:eastAsia="it-IT"/>
              </w:rPr>
            </w:pPr>
            <w:proofErr w:type="spellStart"/>
            <w:r>
              <w:rPr>
                <w:rFonts w:eastAsiaTheme="minorEastAsia" w:cs="Arial"/>
                <w:b/>
                <w:szCs w:val="24"/>
                <w:lang w:val="it-IT" w:eastAsia="it-IT"/>
              </w:rPr>
              <w:t>Sign</w:t>
            </w:r>
            <w:proofErr w:type="spellEnd"/>
            <w:proofErr w:type="gramStart"/>
            <w:r>
              <w:rPr>
                <w:rFonts w:eastAsiaTheme="minorEastAsia" w:cs="Arial"/>
                <w:b/>
                <w:szCs w:val="24"/>
                <w:lang w:val="it-IT" w:eastAsia="it-IT"/>
              </w:rPr>
              <w:t>(</w:t>
            </w:r>
            <w:proofErr w:type="spellStart"/>
            <w:proofErr w:type="gramEnd"/>
            <w:r>
              <w:rPr>
                <w:rFonts w:eastAsiaTheme="minorEastAsia" w:cs="Arial"/>
                <w:b/>
                <w:szCs w:val="24"/>
                <w:lang w:val="it-IT" w:eastAsia="it-IT"/>
              </w:rPr>
              <w:t>B</w:t>
            </w:r>
            <w:r w:rsidRPr="00DA35F1">
              <w:rPr>
                <w:rFonts w:eastAsiaTheme="minorEastAsia" w:cs="Arial"/>
                <w:b/>
                <w:szCs w:val="24"/>
                <w:vertAlign w:val="subscript"/>
                <w:lang w:val="it-IT" w:eastAsia="it-IT"/>
              </w:rPr>
              <w:t>phi</w:t>
            </w:r>
            <w:proofErr w:type="spellEnd"/>
            <w:r>
              <w:rPr>
                <w:rFonts w:eastAsiaTheme="minorEastAsia" w:cs="Arial"/>
                <w:b/>
                <w:szCs w:val="24"/>
                <w:lang w:val="it-IT" w:eastAsia="it-IT"/>
              </w:rPr>
              <w:t>)</w:t>
            </w:r>
          </w:p>
        </w:tc>
        <w:tc>
          <w:tcPr>
            <w:tcW w:w="1800" w:type="dxa"/>
            <w:tcBorders>
              <w:top w:val="single" w:sz="4" w:space="0" w:color="auto"/>
            </w:tcBorders>
          </w:tcPr>
          <w:p w14:paraId="10BAF14E" w14:textId="30B961C3" w:rsidR="00DA35F1" w:rsidRPr="003E3B96" w:rsidRDefault="00DA35F1" w:rsidP="00892BB0">
            <w:pPr>
              <w:spacing w:after="0" w:line="240" w:lineRule="auto"/>
              <w:jc w:val="both"/>
              <w:rPr>
                <w:rFonts w:eastAsiaTheme="minorEastAsia" w:cs="Arial"/>
                <w:b/>
                <w:szCs w:val="24"/>
                <w:lang w:val="it-IT" w:eastAsia="it-IT"/>
              </w:rPr>
            </w:pPr>
            <w:proofErr w:type="spellStart"/>
            <w:r>
              <w:rPr>
                <w:rFonts w:eastAsiaTheme="minorEastAsia" w:cs="Arial"/>
                <w:b/>
                <w:szCs w:val="24"/>
                <w:lang w:val="it-IT" w:eastAsia="it-IT"/>
              </w:rPr>
              <w:t>Sign</w:t>
            </w:r>
            <w:proofErr w:type="spellEnd"/>
            <w:proofErr w:type="gramStart"/>
            <w:r>
              <w:rPr>
                <w:rFonts w:eastAsiaTheme="minorEastAsia" w:cs="Arial"/>
                <w:b/>
                <w:szCs w:val="24"/>
                <w:lang w:val="it-IT" w:eastAsia="it-IT"/>
              </w:rPr>
              <w:t>(</w:t>
            </w:r>
            <w:proofErr w:type="spellStart"/>
            <w:proofErr w:type="gramEnd"/>
            <w:r>
              <w:rPr>
                <w:rFonts w:eastAsiaTheme="minorEastAsia" w:cs="Arial"/>
                <w:b/>
                <w:szCs w:val="24"/>
                <w:lang w:val="it-IT" w:eastAsia="it-IT"/>
              </w:rPr>
              <w:t>I</w:t>
            </w:r>
            <w:r w:rsidRPr="00DA35F1">
              <w:rPr>
                <w:rFonts w:eastAsiaTheme="minorEastAsia" w:cs="Arial"/>
                <w:b/>
                <w:szCs w:val="24"/>
                <w:vertAlign w:val="subscript"/>
                <w:lang w:val="it-IT" w:eastAsia="it-IT"/>
              </w:rPr>
              <w:t>pla</w:t>
            </w:r>
            <w:proofErr w:type="spellEnd"/>
            <w:r>
              <w:rPr>
                <w:rFonts w:eastAsiaTheme="minorEastAsia" w:cs="Arial"/>
                <w:b/>
                <w:szCs w:val="24"/>
                <w:lang w:val="it-IT" w:eastAsia="it-IT"/>
              </w:rPr>
              <w:t>)</w:t>
            </w:r>
          </w:p>
        </w:tc>
        <w:tc>
          <w:tcPr>
            <w:tcW w:w="1800" w:type="dxa"/>
            <w:tcBorders>
              <w:top w:val="single" w:sz="4" w:space="0" w:color="auto"/>
            </w:tcBorders>
          </w:tcPr>
          <w:p w14:paraId="289F092D" w14:textId="09B9F2EC" w:rsidR="00DA35F1" w:rsidRDefault="00DA35F1" w:rsidP="00892BB0">
            <w:pPr>
              <w:spacing w:after="0" w:line="240" w:lineRule="auto"/>
              <w:jc w:val="both"/>
              <w:rPr>
                <w:rFonts w:eastAsiaTheme="minorEastAsia" w:cs="Arial"/>
                <w:b/>
                <w:szCs w:val="24"/>
                <w:lang w:val="it-IT" w:eastAsia="it-IT"/>
              </w:rPr>
            </w:pPr>
            <w:proofErr w:type="spellStart"/>
            <w:r>
              <w:rPr>
                <w:rFonts w:eastAsiaTheme="minorEastAsia" w:cs="Arial"/>
                <w:b/>
                <w:szCs w:val="24"/>
                <w:lang w:val="it-IT" w:eastAsia="it-IT"/>
              </w:rPr>
              <w:t>Sign</w:t>
            </w:r>
            <w:proofErr w:type="spellEnd"/>
            <w:proofErr w:type="gramStart"/>
            <w:r>
              <w:rPr>
                <w:rFonts w:eastAsiaTheme="minorEastAsia" w:cs="Arial"/>
                <w:b/>
                <w:szCs w:val="24"/>
                <w:lang w:val="it-IT" w:eastAsia="it-IT"/>
              </w:rPr>
              <w:t>(</w:t>
            </w:r>
            <w:proofErr w:type="gramEnd"/>
            <w:r w:rsidRPr="00DA35F1">
              <w:rPr>
                <w:rFonts w:ascii="Symbol" w:eastAsiaTheme="minorEastAsia" w:hAnsi="Symbol" w:cs="Arial"/>
                <w:b/>
                <w:szCs w:val="24"/>
                <w:lang w:val="it-IT" w:eastAsia="it-IT"/>
              </w:rPr>
              <w:t></w:t>
            </w:r>
            <w:r>
              <w:rPr>
                <w:rFonts w:eastAsiaTheme="minorEastAsia" w:cs="Arial"/>
                <w:b/>
                <w:szCs w:val="24"/>
                <w:lang w:val="it-IT" w:eastAsia="it-IT"/>
              </w:rPr>
              <w:t>)</w:t>
            </w:r>
          </w:p>
        </w:tc>
      </w:tr>
      <w:tr w:rsidR="00DA35F1" w:rsidRPr="003E3B96" w14:paraId="5F36BE19" w14:textId="782FD398" w:rsidTr="00DA35F1">
        <w:trPr>
          <w:jc w:val="center"/>
        </w:trPr>
        <w:tc>
          <w:tcPr>
            <w:tcW w:w="1594" w:type="dxa"/>
            <w:tcBorders>
              <w:top w:val="single" w:sz="4" w:space="0" w:color="auto"/>
            </w:tcBorders>
          </w:tcPr>
          <w:p w14:paraId="0124DA50" w14:textId="60533187" w:rsidR="00DA35F1" w:rsidRPr="003E3B96" w:rsidRDefault="00DA35F1" w:rsidP="00892BB0">
            <w:pPr>
              <w:spacing w:after="0" w:line="240" w:lineRule="auto"/>
              <w:jc w:val="both"/>
              <w:rPr>
                <w:rFonts w:eastAsiaTheme="minorEastAsia" w:cs="Arial"/>
                <w:b/>
                <w:szCs w:val="24"/>
                <w:lang w:val="it-IT" w:eastAsia="it-IT"/>
              </w:rPr>
            </w:pPr>
            <w:r>
              <w:rPr>
                <w:rFonts w:eastAsiaTheme="minorEastAsia" w:cs="Arial"/>
                <w:b/>
                <w:szCs w:val="24"/>
                <w:lang w:val="it-IT" w:eastAsia="it-IT"/>
              </w:rPr>
              <w:t>1</w:t>
            </w:r>
          </w:p>
        </w:tc>
        <w:tc>
          <w:tcPr>
            <w:tcW w:w="1800" w:type="dxa"/>
            <w:tcBorders>
              <w:top w:val="single" w:sz="4" w:space="0" w:color="auto"/>
            </w:tcBorders>
          </w:tcPr>
          <w:p w14:paraId="1DB6254B" w14:textId="647B77D6"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0</w:t>
            </w:r>
          </w:p>
        </w:tc>
        <w:tc>
          <w:tcPr>
            <w:tcW w:w="1800" w:type="dxa"/>
            <w:tcBorders>
              <w:top w:val="single" w:sz="4" w:space="0" w:color="auto"/>
            </w:tcBorders>
          </w:tcPr>
          <w:p w14:paraId="7DD7DAD1" w14:textId="7246B5B7"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Borders>
              <w:top w:val="single" w:sz="4" w:space="0" w:color="auto"/>
            </w:tcBorders>
          </w:tcPr>
          <w:p w14:paraId="5CF28720" w14:textId="55F4A035"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Borders>
              <w:top w:val="single" w:sz="4" w:space="0" w:color="auto"/>
            </w:tcBorders>
          </w:tcPr>
          <w:p w14:paraId="5DD55CA9" w14:textId="3DA8EC99"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r w:rsidR="00DA35F1" w:rsidRPr="003E3B96" w14:paraId="463DE896" w14:textId="77777777" w:rsidTr="00DA35F1">
        <w:trPr>
          <w:jc w:val="center"/>
        </w:trPr>
        <w:tc>
          <w:tcPr>
            <w:tcW w:w="1594" w:type="dxa"/>
          </w:tcPr>
          <w:p w14:paraId="55446C30" w14:textId="3D0D1622" w:rsidR="00DA35F1" w:rsidRDefault="00DA35F1" w:rsidP="00892BB0">
            <w:pPr>
              <w:spacing w:after="0" w:line="240" w:lineRule="auto"/>
              <w:jc w:val="both"/>
              <w:rPr>
                <w:rFonts w:eastAsiaTheme="minorEastAsia" w:cs="Arial"/>
                <w:b/>
                <w:szCs w:val="24"/>
                <w:lang w:val="it-IT" w:eastAsia="it-IT"/>
              </w:rPr>
            </w:pPr>
          </w:p>
        </w:tc>
        <w:tc>
          <w:tcPr>
            <w:tcW w:w="1800" w:type="dxa"/>
          </w:tcPr>
          <w:p w14:paraId="3CF74375" w14:textId="6FB134BD"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1</w:t>
            </w:r>
          </w:p>
        </w:tc>
        <w:tc>
          <w:tcPr>
            <w:tcW w:w="1800" w:type="dxa"/>
          </w:tcPr>
          <w:p w14:paraId="74E3A70F" w14:textId="54489354"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5C8CD632" w14:textId="7F48CFDC"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22021DCC" w14:textId="14899183"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r w:rsidR="00DA35F1" w:rsidRPr="003E3B96" w14:paraId="05B35E03" w14:textId="5D50B5B4" w:rsidTr="00DA35F1">
        <w:trPr>
          <w:jc w:val="center"/>
        </w:trPr>
        <w:tc>
          <w:tcPr>
            <w:tcW w:w="1594" w:type="dxa"/>
          </w:tcPr>
          <w:p w14:paraId="5227BF5D" w14:textId="7A3671F1" w:rsidR="00DA35F1" w:rsidRPr="003E3B96" w:rsidRDefault="00DA35F1" w:rsidP="00892BB0">
            <w:pPr>
              <w:spacing w:after="0" w:line="240" w:lineRule="auto"/>
              <w:jc w:val="both"/>
              <w:rPr>
                <w:rFonts w:eastAsiaTheme="minorEastAsia" w:cs="Arial"/>
                <w:b/>
                <w:szCs w:val="24"/>
                <w:lang w:val="it-IT" w:eastAsia="it-IT"/>
              </w:rPr>
            </w:pPr>
            <w:r>
              <w:rPr>
                <w:rFonts w:eastAsiaTheme="minorEastAsia" w:cs="Arial"/>
                <w:b/>
                <w:szCs w:val="24"/>
                <w:lang w:val="it-IT" w:eastAsia="it-IT"/>
              </w:rPr>
              <w:t>2</w:t>
            </w:r>
          </w:p>
        </w:tc>
        <w:tc>
          <w:tcPr>
            <w:tcW w:w="1800" w:type="dxa"/>
          </w:tcPr>
          <w:p w14:paraId="6B5E2A64" w14:textId="7C413B5B"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0</w:t>
            </w:r>
          </w:p>
        </w:tc>
        <w:tc>
          <w:tcPr>
            <w:tcW w:w="1800" w:type="dxa"/>
          </w:tcPr>
          <w:p w14:paraId="59E53D68" w14:textId="6FC172CE"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4A71AAD4" w14:textId="7F03089C"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7C57B352" w14:textId="7C9FFF97"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r w:rsidR="00DA35F1" w:rsidRPr="003E3B96" w14:paraId="28834927" w14:textId="77777777" w:rsidTr="00DA35F1">
        <w:trPr>
          <w:jc w:val="center"/>
        </w:trPr>
        <w:tc>
          <w:tcPr>
            <w:tcW w:w="1594" w:type="dxa"/>
          </w:tcPr>
          <w:p w14:paraId="70C48A7D" w14:textId="3A16E9AC" w:rsidR="00DA35F1" w:rsidRDefault="00DA35F1" w:rsidP="00892BB0">
            <w:pPr>
              <w:spacing w:after="0" w:line="240" w:lineRule="auto"/>
              <w:jc w:val="both"/>
              <w:rPr>
                <w:rFonts w:eastAsiaTheme="minorEastAsia" w:cs="Arial"/>
                <w:b/>
                <w:szCs w:val="24"/>
                <w:lang w:val="it-IT" w:eastAsia="it-IT"/>
              </w:rPr>
            </w:pPr>
          </w:p>
        </w:tc>
        <w:tc>
          <w:tcPr>
            <w:tcW w:w="1800" w:type="dxa"/>
          </w:tcPr>
          <w:p w14:paraId="3F01D991" w14:textId="6D8F0645"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1</w:t>
            </w:r>
          </w:p>
        </w:tc>
        <w:tc>
          <w:tcPr>
            <w:tcW w:w="1800" w:type="dxa"/>
          </w:tcPr>
          <w:p w14:paraId="450468C4" w14:textId="41E5A155"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5533FFEB" w14:textId="216B154B"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46EDB69C" w14:textId="211D3C1E"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r w:rsidR="00DA35F1" w:rsidRPr="003E3B96" w14:paraId="3454530C" w14:textId="4B87576F" w:rsidTr="00DA35F1">
        <w:trPr>
          <w:jc w:val="center"/>
        </w:trPr>
        <w:tc>
          <w:tcPr>
            <w:tcW w:w="1594" w:type="dxa"/>
          </w:tcPr>
          <w:p w14:paraId="580983AD" w14:textId="15BE35D8" w:rsidR="00DA35F1" w:rsidRPr="003E3B96" w:rsidRDefault="00DA35F1" w:rsidP="00892BB0">
            <w:pPr>
              <w:spacing w:after="0" w:line="240" w:lineRule="auto"/>
              <w:jc w:val="both"/>
              <w:rPr>
                <w:rFonts w:eastAsiaTheme="minorEastAsia" w:cs="Arial"/>
                <w:b/>
                <w:szCs w:val="24"/>
                <w:lang w:val="it-IT" w:eastAsia="it-IT"/>
              </w:rPr>
            </w:pPr>
            <w:r>
              <w:rPr>
                <w:rFonts w:eastAsiaTheme="minorEastAsia" w:cs="Arial"/>
                <w:b/>
                <w:szCs w:val="24"/>
                <w:lang w:val="it-IT" w:eastAsia="it-IT"/>
              </w:rPr>
              <w:t>3</w:t>
            </w:r>
          </w:p>
        </w:tc>
        <w:tc>
          <w:tcPr>
            <w:tcW w:w="1800" w:type="dxa"/>
          </w:tcPr>
          <w:p w14:paraId="40C4DA43" w14:textId="500D183A"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0</w:t>
            </w:r>
          </w:p>
        </w:tc>
        <w:tc>
          <w:tcPr>
            <w:tcW w:w="1800" w:type="dxa"/>
          </w:tcPr>
          <w:p w14:paraId="000D5D04" w14:textId="168D2B5A"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1BB61BC7" w14:textId="326E5610"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223226E6" w14:textId="799812E7"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r w:rsidR="00DA35F1" w:rsidRPr="003E3B96" w14:paraId="4428C93F" w14:textId="77777777" w:rsidTr="00DA35F1">
        <w:trPr>
          <w:jc w:val="center"/>
        </w:trPr>
        <w:tc>
          <w:tcPr>
            <w:tcW w:w="1594" w:type="dxa"/>
          </w:tcPr>
          <w:p w14:paraId="29023D60" w14:textId="1C0F44BA" w:rsidR="00DA35F1" w:rsidRDefault="00DA35F1" w:rsidP="00892BB0">
            <w:pPr>
              <w:spacing w:after="0" w:line="240" w:lineRule="auto"/>
              <w:jc w:val="both"/>
              <w:rPr>
                <w:rFonts w:eastAsiaTheme="minorEastAsia" w:cs="Arial"/>
                <w:b/>
                <w:szCs w:val="24"/>
                <w:lang w:val="it-IT" w:eastAsia="it-IT"/>
              </w:rPr>
            </w:pPr>
          </w:p>
        </w:tc>
        <w:tc>
          <w:tcPr>
            <w:tcW w:w="1800" w:type="dxa"/>
          </w:tcPr>
          <w:p w14:paraId="55F963EA" w14:textId="7EA30BEA"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1</w:t>
            </w:r>
          </w:p>
        </w:tc>
        <w:tc>
          <w:tcPr>
            <w:tcW w:w="1800" w:type="dxa"/>
          </w:tcPr>
          <w:p w14:paraId="5B7AF241" w14:textId="1F8F7668"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16AC972F" w14:textId="5DBE2947"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7630AB4E" w14:textId="5A1A171C"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r w:rsidR="00DA35F1" w:rsidRPr="003E3B96" w14:paraId="7329466D" w14:textId="77777777" w:rsidTr="00DA35F1">
        <w:trPr>
          <w:jc w:val="center"/>
        </w:trPr>
        <w:tc>
          <w:tcPr>
            <w:tcW w:w="1594" w:type="dxa"/>
          </w:tcPr>
          <w:p w14:paraId="335702CD" w14:textId="29AE9975" w:rsidR="00DA35F1" w:rsidRDefault="00DA35F1" w:rsidP="00892BB0">
            <w:pPr>
              <w:spacing w:after="0" w:line="240" w:lineRule="auto"/>
              <w:jc w:val="both"/>
              <w:rPr>
                <w:rFonts w:eastAsiaTheme="minorEastAsia" w:cs="Arial"/>
                <w:b/>
                <w:szCs w:val="24"/>
                <w:lang w:val="it-IT" w:eastAsia="it-IT"/>
              </w:rPr>
            </w:pPr>
            <w:r>
              <w:rPr>
                <w:rFonts w:eastAsiaTheme="minorEastAsia" w:cs="Arial"/>
                <w:b/>
                <w:szCs w:val="24"/>
                <w:lang w:val="it-IT" w:eastAsia="it-IT"/>
              </w:rPr>
              <w:t>4</w:t>
            </w:r>
          </w:p>
        </w:tc>
        <w:tc>
          <w:tcPr>
            <w:tcW w:w="1800" w:type="dxa"/>
          </w:tcPr>
          <w:p w14:paraId="2C134EDC" w14:textId="21674B9A"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0</w:t>
            </w:r>
          </w:p>
        </w:tc>
        <w:tc>
          <w:tcPr>
            <w:tcW w:w="1800" w:type="dxa"/>
          </w:tcPr>
          <w:p w14:paraId="7BC52655" w14:textId="2A41ED28"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555C97F8" w14:textId="3E33CE3B"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Pr>
          <w:p w14:paraId="5C3EE021" w14:textId="35F57C4B"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r w:rsidR="00DA35F1" w:rsidRPr="003E3B96" w14:paraId="08BE8679" w14:textId="790B1CC5" w:rsidTr="00DA35F1">
        <w:trPr>
          <w:jc w:val="center"/>
        </w:trPr>
        <w:tc>
          <w:tcPr>
            <w:tcW w:w="1594" w:type="dxa"/>
            <w:tcBorders>
              <w:bottom w:val="single" w:sz="4" w:space="0" w:color="auto"/>
            </w:tcBorders>
          </w:tcPr>
          <w:p w14:paraId="4D2A4825" w14:textId="10CC53DD" w:rsidR="00DA35F1" w:rsidRPr="003E3B96" w:rsidRDefault="00DA35F1" w:rsidP="00892BB0">
            <w:pPr>
              <w:spacing w:after="0" w:line="240" w:lineRule="auto"/>
              <w:jc w:val="both"/>
              <w:rPr>
                <w:rFonts w:eastAsiaTheme="minorEastAsia" w:cs="Arial"/>
                <w:b/>
                <w:szCs w:val="24"/>
                <w:lang w:val="it-IT" w:eastAsia="it-IT"/>
              </w:rPr>
            </w:pPr>
          </w:p>
        </w:tc>
        <w:tc>
          <w:tcPr>
            <w:tcW w:w="1800" w:type="dxa"/>
            <w:tcBorders>
              <w:bottom w:val="single" w:sz="4" w:space="0" w:color="auto"/>
            </w:tcBorders>
          </w:tcPr>
          <w:p w14:paraId="2BD7EA3E" w14:textId="12CC2751"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1</w:t>
            </w:r>
          </w:p>
        </w:tc>
        <w:tc>
          <w:tcPr>
            <w:tcW w:w="1800" w:type="dxa"/>
            <w:tcBorders>
              <w:bottom w:val="single" w:sz="4" w:space="0" w:color="auto"/>
            </w:tcBorders>
          </w:tcPr>
          <w:p w14:paraId="6A1E8FFA" w14:textId="5AF60984"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Borders>
              <w:bottom w:val="single" w:sz="4" w:space="0" w:color="auto"/>
            </w:tcBorders>
          </w:tcPr>
          <w:p w14:paraId="3186502C" w14:textId="69C4D160" w:rsidR="00DA35F1" w:rsidRPr="003E3B96"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c>
          <w:tcPr>
            <w:tcW w:w="1800" w:type="dxa"/>
            <w:tcBorders>
              <w:bottom w:val="single" w:sz="4" w:space="0" w:color="auto"/>
            </w:tcBorders>
          </w:tcPr>
          <w:p w14:paraId="3A5B9BE4" w14:textId="25AE0B09" w:rsidR="00DA35F1" w:rsidRDefault="00DA35F1" w:rsidP="00892BB0">
            <w:pPr>
              <w:spacing w:after="0" w:line="240" w:lineRule="auto"/>
              <w:jc w:val="both"/>
              <w:rPr>
                <w:rFonts w:eastAsiaTheme="minorEastAsia" w:cs="Arial"/>
                <w:szCs w:val="24"/>
                <w:lang w:val="it-IT" w:eastAsia="it-IT"/>
              </w:rPr>
            </w:pPr>
            <w:r>
              <w:rPr>
                <w:rFonts w:eastAsiaTheme="minorEastAsia" w:cs="Arial"/>
                <w:szCs w:val="24"/>
                <w:lang w:val="it-IT" w:eastAsia="it-IT"/>
              </w:rPr>
              <w:t>-</w:t>
            </w:r>
          </w:p>
        </w:tc>
      </w:tr>
    </w:tbl>
    <w:p w14:paraId="7CF1D7AC" w14:textId="5ABAB602" w:rsidR="00E95093" w:rsidRDefault="00DA35F1" w:rsidP="00892BB0">
      <w:pPr>
        <w:tabs>
          <w:tab w:val="left" w:pos="220"/>
          <w:tab w:val="left" w:pos="720"/>
        </w:tabs>
        <w:spacing w:before="120" w:after="0" w:line="240" w:lineRule="auto"/>
        <w:jc w:val="both"/>
      </w:pPr>
      <w:proofErr w:type="gramStart"/>
      <w:r>
        <w:t>while</w:t>
      </w:r>
      <w:proofErr w:type="gramEnd"/>
      <w:r>
        <w:t xml:space="preserve"> the ITER shot 6 represents a half field scenario where X-mode injection is necessary for optimal absorption at the second harmonic resonance.</w:t>
      </w:r>
    </w:p>
    <w:p w14:paraId="155D309F" w14:textId="72F9E585" w:rsidR="003E3B96" w:rsidRPr="0076542B" w:rsidRDefault="00E95093" w:rsidP="00892BB0">
      <w:pPr>
        <w:spacing w:before="120" w:after="0" w:line="240" w:lineRule="auto"/>
        <w:jc w:val="both"/>
      </w:pPr>
      <w:r>
        <w:t>The codes GRAY and</w:t>
      </w:r>
      <w:r w:rsidR="003E3B96" w:rsidRPr="0076542B">
        <w:t xml:space="preserve"> TRAVIS</w:t>
      </w:r>
      <w:r>
        <w:t xml:space="preserve"> have been successfully verified on the 4.10b version of the AUG case variants, by executing the HCD workflow with their respective </w:t>
      </w:r>
      <w:proofErr w:type="spellStart"/>
      <w:r>
        <w:t>Kepler</w:t>
      </w:r>
      <w:proofErr w:type="spellEnd"/>
      <w:r>
        <w:t xml:space="preserve"> actor</w:t>
      </w:r>
      <w:r w:rsidR="003E3B96" w:rsidRPr="0076542B">
        <w:t xml:space="preserve">, </w:t>
      </w:r>
      <w:r>
        <w:t xml:space="preserve">apart from minor </w:t>
      </w:r>
      <w:r w:rsidR="003E3B96" w:rsidRPr="0076542B">
        <w:t>difference</w:t>
      </w:r>
      <w:r>
        <w:t>s found</w:t>
      </w:r>
      <w:r w:rsidR="003E3B96" w:rsidRPr="0076542B">
        <w:t xml:space="preserve"> in </w:t>
      </w:r>
      <w:r>
        <w:t xml:space="preserve">the </w:t>
      </w:r>
      <w:r w:rsidR="003E3B96" w:rsidRPr="0076542B">
        <w:t>plasma volume/cross section computation</w:t>
      </w:r>
      <w:r>
        <w:t xml:space="preserve">. </w:t>
      </w:r>
      <w:r w:rsidR="00B27774">
        <w:t xml:space="preserve">The results are stored in user filo, machine </w:t>
      </w:r>
      <w:proofErr w:type="spellStart"/>
      <w:proofErr w:type="gramStart"/>
      <w:r w:rsidR="00B27774">
        <w:t>aug</w:t>
      </w:r>
      <w:proofErr w:type="spellEnd"/>
      <w:proofErr w:type="gramEnd"/>
      <w:r w:rsidR="00B27774">
        <w:t xml:space="preserve">, shot 30263, runs 1101-1104 (GRAY) and runs 2104-2104 (TRAVIS). </w:t>
      </w:r>
      <w:r>
        <w:t>For the other codes</w:t>
      </w:r>
      <w:r w:rsidR="00892BB0">
        <w:t>, the testing of the 4.10b version is still ongoing.</w:t>
      </w:r>
    </w:p>
    <w:p w14:paraId="74A860A8" w14:textId="090E16C0" w:rsidR="00E43F7B" w:rsidRDefault="00E43F7B" w:rsidP="00E43F7B">
      <w:pPr>
        <w:pStyle w:val="Heading2"/>
      </w:pPr>
      <w:proofErr w:type="spellStart"/>
      <w:r>
        <w:t>Kepler</w:t>
      </w:r>
      <w:proofErr w:type="spellEnd"/>
      <w:r>
        <w:t xml:space="preserve"> test workflow standardization</w:t>
      </w:r>
    </w:p>
    <w:p w14:paraId="7ADCFA65" w14:textId="11EC61A8" w:rsidR="00850A1B" w:rsidRDefault="00892BB0" w:rsidP="00892BB0">
      <w:pPr>
        <w:spacing w:before="120" w:after="0" w:line="240" w:lineRule="auto"/>
        <w:jc w:val="both"/>
      </w:pPr>
      <w:r>
        <w:t xml:space="preserve">Some </w:t>
      </w:r>
      <w:r w:rsidR="00850A1B">
        <w:t>work has been done to make the verification workflow as reproducible as possible</w:t>
      </w:r>
      <w:r w:rsidR="00B27774">
        <w:t>, exploiting some of the upgrades done to the HCD workflow</w:t>
      </w:r>
      <w:r w:rsidR="00850A1B">
        <w:t>:</w:t>
      </w:r>
    </w:p>
    <w:p w14:paraId="58C86E7E" w14:textId="77777777" w:rsidR="00850A1B" w:rsidRDefault="00850A1B" w:rsidP="00850A1B">
      <w:pPr>
        <w:pStyle w:val="ListParagraph"/>
        <w:numPr>
          <w:ilvl w:val="0"/>
          <w:numId w:val="10"/>
        </w:numPr>
        <w:spacing w:before="120" w:after="0" w:line="240" w:lineRule="auto"/>
        <w:jc w:val="both"/>
      </w:pPr>
      <w:proofErr w:type="gramStart"/>
      <w:r>
        <w:t>an</w:t>
      </w:r>
      <w:proofErr w:type="gramEnd"/>
      <w:r>
        <w:t xml:space="preserve"> ID flag is used to tag the output waves CPO, with IDs unique to each code.</w:t>
      </w:r>
    </w:p>
    <w:p w14:paraId="70C60ECA" w14:textId="77777777" w:rsidR="00850A1B" w:rsidRDefault="00850A1B" w:rsidP="00850A1B">
      <w:pPr>
        <w:pStyle w:val="ListParagraph"/>
        <w:numPr>
          <w:ilvl w:val="0"/>
          <w:numId w:val="10"/>
        </w:numPr>
        <w:spacing w:before="120" w:after="0" w:line="240" w:lineRule="auto"/>
        <w:jc w:val="both"/>
      </w:pPr>
      <w:proofErr w:type="gramStart"/>
      <w:r>
        <w:t>the</w:t>
      </w:r>
      <w:proofErr w:type="gramEnd"/>
      <w:r>
        <w:t xml:space="preserve"> production and release of the </w:t>
      </w:r>
      <w:proofErr w:type="spellStart"/>
      <w:r>
        <w:t>Kepler</w:t>
      </w:r>
      <w:proofErr w:type="spellEnd"/>
      <w:r>
        <w:t xml:space="preserve"> actors has been automated, forcing to use an unmodified copy of the repository for the codes under SVN control</w:t>
      </w:r>
    </w:p>
    <w:p w14:paraId="228B829A" w14:textId="77777777" w:rsidR="00B27774" w:rsidRDefault="00B27774" w:rsidP="00850A1B">
      <w:pPr>
        <w:pStyle w:val="ListParagraph"/>
        <w:numPr>
          <w:ilvl w:val="0"/>
          <w:numId w:val="10"/>
        </w:numPr>
        <w:spacing w:before="120" w:after="0" w:line="240" w:lineRule="auto"/>
        <w:jc w:val="both"/>
      </w:pPr>
      <w:proofErr w:type="gramStart"/>
      <w:r>
        <w:t>when</w:t>
      </w:r>
      <w:proofErr w:type="gramEnd"/>
      <w:r>
        <w:t xml:space="preserve"> final, the resulting data are set as read-only to avoid unintentional modifications</w:t>
      </w:r>
    </w:p>
    <w:p w14:paraId="695E806B" w14:textId="24AD09DD" w:rsidR="00BC750B" w:rsidRPr="0076542B" w:rsidRDefault="00B27774" w:rsidP="00B27774">
      <w:pPr>
        <w:spacing w:before="120" w:after="0" w:line="240" w:lineRule="auto"/>
        <w:jc w:val="both"/>
      </w:pPr>
      <w:r>
        <w:t>The final verification of the codes is performed using the HCD workflow itself as test bed. A detailed d</w:t>
      </w:r>
      <w:r w:rsidR="00BC750B" w:rsidRPr="0076542B">
        <w:t>ocument</w:t>
      </w:r>
      <w:r>
        <w:t xml:space="preserve">ation of the content of each shot and </w:t>
      </w:r>
      <w:r w:rsidR="00BC750B" w:rsidRPr="0076542B">
        <w:t>run</w:t>
      </w:r>
      <w:r>
        <w:t xml:space="preserve"> is </w:t>
      </w:r>
      <w:bookmarkStart w:id="0" w:name="_GoBack"/>
      <w:bookmarkEnd w:id="0"/>
      <w:r>
        <w:t xml:space="preserve">under production, and the </w:t>
      </w:r>
      <w:r>
        <w:t>final results</w:t>
      </w:r>
      <w:r>
        <w:t xml:space="preserve"> will be c</w:t>
      </w:r>
      <w:r w:rsidR="00BC750B" w:rsidRPr="0076542B">
        <w:t>op</w:t>
      </w:r>
      <w:r>
        <w:t>ied</w:t>
      </w:r>
      <w:r w:rsidR="00BC750B" w:rsidRPr="0076542B">
        <w:t xml:space="preserve"> in </w:t>
      </w:r>
      <w:r>
        <w:t xml:space="preserve">the </w:t>
      </w:r>
      <w:r w:rsidR="00BC750B" w:rsidRPr="0076542B">
        <w:t>public database</w:t>
      </w:r>
      <w:r>
        <w:t>.</w:t>
      </w:r>
    </w:p>
    <w:p w14:paraId="0AFD5C4E" w14:textId="66DC3713" w:rsidR="00BC750B" w:rsidRPr="0076542B" w:rsidRDefault="00BC750B" w:rsidP="00BC750B"/>
    <w:sectPr w:rsidR="00BC750B" w:rsidRPr="0076542B" w:rsidSect="006E236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11A5E53"/>
    <w:multiLevelType w:val="hybridMultilevel"/>
    <w:tmpl w:val="D8AA7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F86905"/>
    <w:multiLevelType w:val="hybridMultilevel"/>
    <w:tmpl w:val="662C3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E77691"/>
    <w:multiLevelType w:val="hybridMultilevel"/>
    <w:tmpl w:val="C424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8147D"/>
    <w:multiLevelType w:val="hybridMultilevel"/>
    <w:tmpl w:val="662AD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DA"/>
    <w:rsid w:val="0004744B"/>
    <w:rsid w:val="000E3E4D"/>
    <w:rsid w:val="00203B26"/>
    <w:rsid w:val="0022401A"/>
    <w:rsid w:val="00262238"/>
    <w:rsid w:val="002A404F"/>
    <w:rsid w:val="003E3B96"/>
    <w:rsid w:val="006867AF"/>
    <w:rsid w:val="006E236E"/>
    <w:rsid w:val="006E5150"/>
    <w:rsid w:val="00717E60"/>
    <w:rsid w:val="0076542B"/>
    <w:rsid w:val="007717EC"/>
    <w:rsid w:val="007D22DA"/>
    <w:rsid w:val="0080328C"/>
    <w:rsid w:val="00850A1B"/>
    <w:rsid w:val="00892BB0"/>
    <w:rsid w:val="00957997"/>
    <w:rsid w:val="009C40A1"/>
    <w:rsid w:val="009C695D"/>
    <w:rsid w:val="009D117B"/>
    <w:rsid w:val="00A40F55"/>
    <w:rsid w:val="00AA75CD"/>
    <w:rsid w:val="00B06CCB"/>
    <w:rsid w:val="00B27774"/>
    <w:rsid w:val="00B56D9E"/>
    <w:rsid w:val="00B7225C"/>
    <w:rsid w:val="00BC750B"/>
    <w:rsid w:val="00C80730"/>
    <w:rsid w:val="00D04B55"/>
    <w:rsid w:val="00D24397"/>
    <w:rsid w:val="00DA35F1"/>
    <w:rsid w:val="00E43F7B"/>
    <w:rsid w:val="00E95093"/>
    <w:rsid w:val="00F0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96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2B"/>
    <w:pPr>
      <w:spacing w:after="200" w:line="276" w:lineRule="auto"/>
    </w:pPr>
    <w:rPr>
      <w:rFonts w:ascii="Arial" w:eastAsiaTheme="minorHAnsi" w:hAnsi="Arial"/>
      <w:szCs w:val="22"/>
      <w:lang w:eastAsia="en-US"/>
    </w:rPr>
  </w:style>
  <w:style w:type="paragraph" w:styleId="Heading1">
    <w:name w:val="heading 1"/>
    <w:basedOn w:val="Normal"/>
    <w:next w:val="Normal"/>
    <w:link w:val="Heading1Char"/>
    <w:uiPriority w:val="9"/>
    <w:qFormat/>
    <w:rsid w:val="009C40A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4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A1"/>
    <w:pPr>
      <w:ind w:left="720"/>
      <w:contextualSpacing/>
    </w:pPr>
  </w:style>
  <w:style w:type="character" w:customStyle="1" w:styleId="Heading1Char">
    <w:name w:val="Heading 1 Char"/>
    <w:basedOn w:val="DefaultParagraphFont"/>
    <w:link w:val="Heading1"/>
    <w:uiPriority w:val="9"/>
    <w:rsid w:val="009C40A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9C40A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C40A1"/>
    <w:rPr>
      <w:rFonts w:asciiTheme="majorHAnsi" w:eastAsiaTheme="majorEastAsia" w:hAnsiTheme="majorHAnsi" w:cstheme="majorBidi"/>
      <w:b/>
      <w:bCs/>
      <w:color w:val="4F81BD" w:themeColor="accent1"/>
      <w:szCs w:val="22"/>
      <w:lang w:eastAsia="en-US"/>
    </w:rPr>
  </w:style>
  <w:style w:type="character" w:styleId="Hyperlink">
    <w:name w:val="Hyperlink"/>
    <w:basedOn w:val="DefaultParagraphFont"/>
    <w:uiPriority w:val="99"/>
    <w:unhideWhenUsed/>
    <w:rsid w:val="0004744B"/>
    <w:rPr>
      <w:color w:val="0000FF" w:themeColor="hyperlink"/>
      <w:u w:val="single"/>
    </w:rPr>
  </w:style>
  <w:style w:type="table" w:styleId="TableGrid">
    <w:name w:val="Table Grid"/>
    <w:basedOn w:val="TableNormal"/>
    <w:uiPriority w:val="59"/>
    <w:rsid w:val="003E3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2B"/>
    <w:pPr>
      <w:spacing w:after="200" w:line="276" w:lineRule="auto"/>
    </w:pPr>
    <w:rPr>
      <w:rFonts w:ascii="Arial" w:eastAsiaTheme="minorHAnsi" w:hAnsi="Arial"/>
      <w:szCs w:val="22"/>
      <w:lang w:eastAsia="en-US"/>
    </w:rPr>
  </w:style>
  <w:style w:type="paragraph" w:styleId="Heading1">
    <w:name w:val="heading 1"/>
    <w:basedOn w:val="Normal"/>
    <w:next w:val="Normal"/>
    <w:link w:val="Heading1Char"/>
    <w:uiPriority w:val="9"/>
    <w:qFormat/>
    <w:rsid w:val="009C40A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4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A1"/>
    <w:pPr>
      <w:ind w:left="720"/>
      <w:contextualSpacing/>
    </w:pPr>
  </w:style>
  <w:style w:type="character" w:customStyle="1" w:styleId="Heading1Char">
    <w:name w:val="Heading 1 Char"/>
    <w:basedOn w:val="DefaultParagraphFont"/>
    <w:link w:val="Heading1"/>
    <w:uiPriority w:val="9"/>
    <w:rsid w:val="009C40A1"/>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9C40A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C40A1"/>
    <w:rPr>
      <w:rFonts w:asciiTheme="majorHAnsi" w:eastAsiaTheme="majorEastAsia" w:hAnsiTheme="majorHAnsi" w:cstheme="majorBidi"/>
      <w:b/>
      <w:bCs/>
      <w:color w:val="4F81BD" w:themeColor="accent1"/>
      <w:szCs w:val="22"/>
      <w:lang w:eastAsia="en-US"/>
    </w:rPr>
  </w:style>
  <w:style w:type="character" w:styleId="Hyperlink">
    <w:name w:val="Hyperlink"/>
    <w:basedOn w:val="DefaultParagraphFont"/>
    <w:uiPriority w:val="99"/>
    <w:unhideWhenUsed/>
    <w:rsid w:val="0004744B"/>
    <w:rPr>
      <w:color w:val="0000FF" w:themeColor="hyperlink"/>
      <w:u w:val="single"/>
    </w:rPr>
  </w:style>
  <w:style w:type="table" w:styleId="TableGrid">
    <w:name w:val="Table Grid"/>
    <w:basedOn w:val="TableNormal"/>
    <w:uiPriority w:val="59"/>
    <w:rsid w:val="003E3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ortal.efda-itm.eu/twiki/bin/view/Main/IMP5_ValidationVerification_EC" TargetMode="External"/><Relationship Id="rId7" Type="http://schemas.openxmlformats.org/officeDocument/2006/relationships/hyperlink" Target="http://portal.efda-itm.eu/twiki/bin/view/Main/CodeCamp2013_Lisbon_Figini_Lorenzo" TargetMode="External"/><Relationship Id="rId8" Type="http://schemas.openxmlformats.org/officeDocument/2006/relationships/hyperlink" Target="http://portal.efda-itm.eu/twiki/bin/view/Main/IMP5#How_do_generate_an_equilibrium_C" TargetMode="External"/><Relationship Id="rId9" Type="http://schemas.openxmlformats.org/officeDocument/2006/relationships/hyperlink" Target="http://www.efda-itm.eu/ITM/html/imp5_ECAntennaDatabas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893</Words>
  <Characters>5096</Characters>
  <Application>Microsoft Macintosh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 Figini</cp:lastModifiedBy>
  <cp:revision>9</cp:revision>
  <dcterms:created xsi:type="dcterms:W3CDTF">2015-01-15T16:47:00Z</dcterms:created>
  <dcterms:modified xsi:type="dcterms:W3CDTF">2015-01-20T23:37:00Z</dcterms:modified>
</cp:coreProperties>
</file>